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
      <w:pPr>
        <w:pStyle w:val="Heading1"/>
        <w:rPr>
          <w:rFonts w:eastAsia="宋体" w:cs="宋体"/>
          <w:color w:val="0000FF"/>
          <w:sz w:val="44"/>
        </w:rPr>
      </w:pPr>
      <w:r>
        <w:rPr>
          <w:rFonts w:eastAsia="宋体" w:cs="宋体" w:hint="eastAsia"/>
          <w:sz w:val="44"/>
        </w:rPr>
        <w:t>关键信息</w:t>
      </w:r>
    </w:p>
    <w:p>
      <w:pPr>
        <w:pStyle w:val="NormalWeb"/>
        <w:jc w:val="center"/>
        <w:outlineLvl w:val="1"/>
        <w:rPr>
          <w:rFonts w:ascii="黑体" w:eastAsia="黑体" w:hAnsi="宋体" w:cs="黑体"/>
          <w:sz w:val="40"/>
          <w:szCs w:val="40"/>
        </w:rPr>
      </w:pPr>
      <w:r>
        <w:rPr>
          <w:rFonts w:ascii="黑体" w:eastAsia="黑体" w:hAnsi="宋体" w:cs="黑体" w:hint="eastAsia"/>
          <w:sz w:val="40"/>
          <w:szCs w:val="40"/>
        </w:rPr>
        <w:t>招标文件信息</w:t>
      </w:r>
    </w:p>
    <w:tbl>
      <w:tblPr>
        <w:tblStyle w:val="TableNormal"/>
        <w:tblW w:w="0" w:type="auto"/>
        <w:jc w:val="center"/>
        <w:tblCellSpacing w:w="0" w:type="dxa"/>
        <w:tblLayout w:type="fixed"/>
        <w:tblCellMar>
          <w:top w:w="45" w:type="dxa"/>
          <w:left w:w="45" w:type="dxa"/>
          <w:bottom w:w="45" w:type="dxa"/>
          <w:right w:w="45" w:type="dxa"/>
        </w:tblCellMar>
      </w:tblPr>
      <w:tblGrid>
        <w:gridCol w:w="2723"/>
        <w:gridCol w:w="5220"/>
      </w:tblGrid>
      <w:tr>
        <w:tblPrEx>
          <w:tblW w:w="0" w:type="auto"/>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项目编号：</w:t>
            </w:r>
          </w:p>
        </w:tc>
        <w:tc>
          <w:tcPr>
            <w:tcW w:w="5220" w:type="dxa"/>
            <w:vAlign w:val="center"/>
          </w:tcPr>
          <w:p>
            <w:pPr>
              <w:keepNext w:val="0"/>
              <w:keepLines w:val="0"/>
              <w:widowControl/>
              <w:suppressLineNumbers w:val="0"/>
              <w:pBdr>
                <w:top w:val="nil"/>
                <w:left w:val="nil"/>
                <w:bottom w:val="nil"/>
                <w:right w:val="nil"/>
              </w:pBdr>
              <w:shd w:val="clear" w:color="auto" w:fill="FFFFFF"/>
              <w:spacing w:before="0" w:beforeAutospacing="0" w:after="0" w:afterAutospacing="0" w:line="480" w:lineRule="atLeast"/>
              <w:ind w:left="0" w:right="0"/>
              <w:jc w:val="left"/>
              <w:rPr>
                <w:sz w:val="30"/>
                <w:szCs w:val="30"/>
              </w:rPr>
            </w:pPr>
            <w:r>
              <w:rPr>
                <w:rFonts w:hint="default"/>
                <w:sz w:val="30"/>
                <w:szCs w:val="30"/>
                <w:lang w:val="en-US" w:eastAsia="zh-CN"/>
              </w:rPr>
              <w:t>LHDL2024000024</w:t>
            </w:r>
          </w:p>
        </w:tc>
      </w:tr>
      <w:tr>
        <w:tblPrEx>
          <w:tblW w:w="0" w:type="auto"/>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项目名称：</w:t>
            </w:r>
          </w:p>
        </w:tc>
        <w:tc>
          <w:tcPr>
            <w:tcW w:w="5220" w:type="dxa"/>
            <w:vAlign w:val="center"/>
          </w:tcPr>
          <w:p>
            <w:pPr>
              <w:rPr>
                <w:rFonts w:hint="default"/>
                <w:sz w:val="30"/>
                <w:szCs w:val="30"/>
                <w:lang w:val="en-US"/>
              </w:rPr>
            </w:pPr>
            <w:r>
              <w:rPr>
                <w:rFonts w:hint="default"/>
                <w:sz w:val="30"/>
                <w:szCs w:val="30"/>
                <w:lang w:val="en-US"/>
              </w:rPr>
              <w:t>深圳市翠园文锦中学初中理科实验操作考试考点设备采购</w:t>
            </w:r>
          </w:p>
        </w:tc>
      </w:tr>
      <w:tr>
        <w:tblPrEx>
          <w:tblW w:w="0" w:type="auto"/>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包 号：</w:t>
            </w:r>
          </w:p>
        </w:tc>
        <w:tc>
          <w:tcPr>
            <w:tcW w:w="5220" w:type="dxa"/>
            <w:vAlign w:val="center"/>
          </w:tcPr>
          <w:p>
            <w:pPr>
              <w:rPr>
                <w:sz w:val="30"/>
                <w:szCs w:val="30"/>
              </w:rPr>
            </w:pPr>
            <w:r>
              <w:rPr>
                <w:rFonts w:hint="eastAsia"/>
                <w:sz w:val="30"/>
                <w:szCs w:val="30"/>
              </w:rPr>
              <w:t>A</w:t>
            </w:r>
          </w:p>
        </w:tc>
      </w:tr>
      <w:tr>
        <w:tblPrEx>
          <w:tblW w:w="0" w:type="auto"/>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项目类型：</w:t>
            </w:r>
          </w:p>
        </w:tc>
        <w:tc>
          <w:tcPr>
            <w:tcW w:w="5220" w:type="dxa"/>
            <w:vAlign w:val="center"/>
          </w:tcPr>
          <w:p>
            <w:pPr>
              <w:rPr>
                <w:sz w:val="30"/>
                <w:szCs w:val="30"/>
              </w:rPr>
            </w:pPr>
            <w:r>
              <w:rPr>
                <w:rFonts w:ascii="宋体" w:hAnsi="宋体" w:cs="宋体" w:hint="eastAsia"/>
                <w:sz w:val="30"/>
                <w:szCs w:val="30"/>
              </w:rPr>
              <w:t>货物</w:t>
            </w:r>
            <w:r>
              <w:rPr>
                <w:rFonts w:ascii="宋体" w:hAnsi="宋体" w:cs="宋体"/>
                <w:sz w:val="30"/>
                <w:szCs w:val="30"/>
              </w:rPr>
              <w:t>类</w:t>
            </w:r>
          </w:p>
        </w:tc>
      </w:tr>
      <w:tr>
        <w:tblPrEx>
          <w:tblW w:w="0" w:type="auto"/>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采购方式：</w:t>
            </w:r>
          </w:p>
        </w:tc>
        <w:tc>
          <w:tcPr>
            <w:tcW w:w="5220" w:type="dxa"/>
            <w:vAlign w:val="center"/>
          </w:tcPr>
          <w:p>
            <w:pPr>
              <w:rPr>
                <w:sz w:val="30"/>
                <w:szCs w:val="30"/>
              </w:rPr>
            </w:pPr>
            <w:r>
              <w:rPr>
                <w:rFonts w:ascii="宋体" w:hAnsi="宋体" w:cs="宋体"/>
                <w:sz w:val="30"/>
                <w:szCs w:val="30"/>
              </w:rPr>
              <w:t>公开招标</w:t>
            </w:r>
          </w:p>
        </w:tc>
      </w:tr>
      <w:tr>
        <w:tblPrEx>
          <w:tblW w:w="0" w:type="auto"/>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货币类型：</w:t>
            </w:r>
          </w:p>
        </w:tc>
        <w:tc>
          <w:tcPr>
            <w:tcW w:w="5220" w:type="dxa"/>
            <w:vAlign w:val="center"/>
          </w:tcPr>
          <w:p>
            <w:pPr>
              <w:rPr>
                <w:sz w:val="30"/>
                <w:szCs w:val="30"/>
              </w:rPr>
            </w:pPr>
            <w:r>
              <w:rPr>
                <w:rFonts w:ascii="宋体" w:hAnsi="宋体" w:cs="宋体"/>
                <w:sz w:val="30"/>
                <w:szCs w:val="30"/>
              </w:rPr>
              <w:t>人民币</w:t>
            </w:r>
          </w:p>
        </w:tc>
      </w:tr>
      <w:tr>
        <w:tblPrEx>
          <w:tblW w:w="0" w:type="auto"/>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评标方法：</w:t>
            </w:r>
          </w:p>
        </w:tc>
        <w:tc>
          <w:tcPr>
            <w:tcW w:w="5220" w:type="dxa"/>
            <w:vAlign w:val="center"/>
          </w:tcPr>
          <w:p>
            <w:pPr>
              <w:rPr>
                <w:sz w:val="30"/>
                <w:szCs w:val="30"/>
              </w:rPr>
            </w:pPr>
            <w:r>
              <w:rPr>
                <w:rFonts w:ascii="宋体" w:hAnsi="宋体" w:cs="宋体"/>
                <w:sz w:val="30"/>
                <w:szCs w:val="30"/>
              </w:rPr>
              <w:t>综合评分法（新价格分算法）</w:t>
            </w:r>
          </w:p>
        </w:tc>
      </w:tr>
    </w:tbl>
    <w:p>
      <w:pPr>
        <w:pStyle w:val="NormalWeb"/>
        <w:jc w:val="center"/>
        <w:outlineLvl w:val="1"/>
        <w:rPr>
          <w:rFonts w:ascii="黑体" w:eastAsia="黑体" w:hAnsi="宋体" w:cs="黑体"/>
          <w:sz w:val="40"/>
          <w:szCs w:val="40"/>
        </w:rPr>
      </w:pPr>
      <w:r>
        <w:rPr>
          <w:rFonts w:ascii="黑体" w:eastAsia="黑体" w:hAnsi="宋体" w:cs="黑体" w:hint="eastAsia"/>
          <w:sz w:val="40"/>
          <w:szCs w:val="40"/>
        </w:rPr>
        <w:t>资格性审查表</w:t>
      </w:r>
    </w:p>
    <w:tbl>
      <w:tblPr>
        <w:tblStyle w:val="TableNormal"/>
        <w:tblW w:w="4999"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45"/>
        <w:gridCol w:w="7775"/>
      </w:tblGrid>
      <w:tr>
        <w:tblPrEx>
          <w:tblW w:w="4999"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sz w:val="21"/>
                <w:szCs w:val="21"/>
              </w:rPr>
            </w:pPr>
            <w:r>
              <w:rPr>
                <w:rFonts w:ascii="宋体" w:hAnsi="宋体" w:cs="宋体"/>
                <w:sz w:val="21"/>
                <w:szCs w:val="21"/>
              </w:rPr>
              <w:t>序号</w:t>
            </w:r>
          </w:p>
        </w:tc>
        <w:tc>
          <w:tcPr>
            <w:tcW w:w="4562" w:type="pct"/>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sz w:val="21"/>
                <w:szCs w:val="21"/>
              </w:rPr>
            </w:pPr>
            <w:r>
              <w:rPr>
                <w:rFonts w:ascii="宋体" w:hAnsi="宋体" w:cs="宋体"/>
                <w:sz w:val="21"/>
                <w:szCs w:val="21"/>
              </w:rPr>
              <w:t>内容</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tcPr>
          <w:p>
            <w:pPr>
              <w:textAlignment w:val="top"/>
              <w:rPr>
                <w:rFonts w:ascii="宋体" w:hAnsi="宋体" w:cs="宋体"/>
                <w:sz w:val="21"/>
                <w:szCs w:val="21"/>
              </w:rPr>
            </w:pPr>
            <w:r>
              <w:rPr>
                <w:rFonts w:ascii="宋体" w:hAnsi="宋体" w:cs="宋体" w:hint="eastAsia"/>
                <w:sz w:val="21"/>
                <w:szCs w:val="21"/>
              </w:rPr>
              <w:t>1</w:t>
            </w:r>
          </w:p>
        </w:tc>
        <w:tc>
          <w:tcPr>
            <w:tcW w:w="4562" w:type="pct"/>
            <w:tcBorders>
              <w:top w:val="single" w:sz="8" w:space="0" w:color="000000"/>
              <w:left w:val="single" w:sz="8" w:space="0" w:color="000000"/>
              <w:bottom w:val="single" w:sz="8" w:space="0" w:color="000000"/>
              <w:right w:val="single" w:sz="8" w:space="0" w:color="000000"/>
            </w:tcBorders>
          </w:tcPr>
          <w:p>
            <w:pPr>
              <w:textAlignment w:val="top"/>
              <w:rPr>
                <w:rFonts w:ascii="宋体" w:hAnsi="宋体" w:cs="宋体"/>
                <w:sz w:val="21"/>
                <w:szCs w:val="21"/>
              </w:rPr>
            </w:pPr>
            <w:r>
              <w:rPr>
                <w:rFonts w:ascii="宋体" w:eastAsia="宋体" w:hAnsi="宋体" w:cs="宋体" w:hint="eastAsia"/>
                <w:color w:val="000000"/>
                <w:sz w:val="21"/>
                <w:szCs w:val="21"/>
              </w:rPr>
              <w:t>投标人符合资格要求，并按要求提供资格证明材料（详见招标公告投标人资格要求，即申请人的资格要求）</w:t>
            </w:r>
          </w:p>
        </w:tc>
      </w:tr>
    </w:tbl>
    <w:p>
      <w:pPr>
        <w:pStyle w:val="NormalWeb"/>
        <w:spacing w:before="280"/>
        <w:jc w:val="center"/>
        <w:outlineLvl w:val="1"/>
        <w:rPr>
          <w:rFonts w:ascii="黑体" w:eastAsia="黑体" w:hAnsi="宋体" w:cs="黑体"/>
          <w:sz w:val="40"/>
          <w:szCs w:val="40"/>
        </w:rPr>
      </w:pPr>
      <w:r>
        <w:rPr>
          <w:rFonts w:ascii="黑体" w:eastAsia="黑体" w:hAnsi="宋体" w:cs="黑体" w:hint="eastAsia"/>
          <w:sz w:val="40"/>
          <w:szCs w:val="40"/>
        </w:rPr>
        <w:t>符合性审查表</w:t>
      </w:r>
    </w:p>
    <w:tbl>
      <w:tblPr>
        <w:tblStyle w:val="TableNormal"/>
        <w:tblW w:w="4999"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45"/>
        <w:gridCol w:w="7775"/>
      </w:tblGrid>
      <w:tr>
        <w:tblPrEx>
          <w:tblW w:w="4999"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rHeight w:val="90"/>
          <w:jc w:val="center"/>
        </w:trPr>
        <w:tc>
          <w:tcPr>
            <w:tcW w:w="437" w:type="pct"/>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sz w:val="28"/>
                <w:szCs w:val="28"/>
              </w:rPr>
            </w:pPr>
            <w:r>
              <w:rPr>
                <w:rFonts w:ascii="宋体" w:hAnsi="宋体" w:cs="宋体"/>
                <w:sz w:val="28"/>
                <w:szCs w:val="28"/>
              </w:rPr>
              <w:t>序号</w:t>
            </w:r>
          </w:p>
        </w:tc>
        <w:tc>
          <w:tcPr>
            <w:tcW w:w="4562" w:type="pct"/>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sz w:val="28"/>
                <w:szCs w:val="28"/>
              </w:rPr>
            </w:pPr>
            <w:r>
              <w:rPr>
                <w:rFonts w:ascii="宋体" w:hAnsi="宋体" w:cs="宋体"/>
                <w:sz w:val="28"/>
                <w:szCs w:val="28"/>
              </w:rPr>
              <w:t>内容</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sz w:val="21"/>
                <w:szCs w:val="21"/>
              </w:rPr>
              <w:t>1</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sz w:val="21"/>
                <w:szCs w:val="21"/>
              </w:rPr>
              <w:t>将一个包或一个标段的内容拆开投标；</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sz w:val="21"/>
                <w:szCs w:val="21"/>
              </w:rPr>
              <w:t>2</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sz w:val="21"/>
                <w:szCs w:val="21"/>
              </w:rPr>
              <w:t>对同一项目投标时，提供两套以上的投标方案（招标文件另有规定的除外）；</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sz w:val="21"/>
                <w:szCs w:val="21"/>
              </w:rPr>
              <w:t>3</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sz w:val="21"/>
                <w:szCs w:val="21"/>
              </w:rPr>
              <w:t>分项报价或投标总价高于相应财政预算金额（或设定的财政预算金额下的最高限价）；</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sz w:val="21"/>
                <w:szCs w:val="21"/>
              </w:rPr>
              <w:t>4</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sz w:val="21"/>
                <w:szCs w:val="21"/>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sz w:val="21"/>
                <w:szCs w:val="21"/>
              </w:rPr>
              <w:t>5</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sz w:val="21"/>
                <w:szCs w:val="21"/>
              </w:rPr>
              <w:t>所投货物、服务在技术、商务等方面没有实质性满足招标文件要求的（是否实质性满足招标文件要求，由评审委员会根据《实质性条款响应情况表》</w:t>
            </w:r>
            <w:r>
              <w:rPr>
                <w:rFonts w:eastAsia="宋体" w:hint="eastAsia"/>
                <w:sz w:val="21"/>
                <w:szCs w:val="21"/>
                <w:lang w:eastAsia="zh-CN"/>
              </w:rPr>
              <w:t>作出</w:t>
            </w:r>
            <w:r>
              <w:rPr>
                <w:sz w:val="21"/>
                <w:szCs w:val="21"/>
              </w:rPr>
              <w:t>评判）；</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sz w:val="21"/>
                <w:szCs w:val="21"/>
              </w:rPr>
              <w:t>6</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sz w:val="21"/>
                <w:szCs w:val="21"/>
              </w:rPr>
              <w:t>未按招标文件所提供的样式填写《投标函》；未按招标文件所提供的《政府采购投标及履约承诺函》进行承诺；未按招标文件对投标文件组成的要求提供投标文件；</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sz w:val="21"/>
                <w:szCs w:val="21"/>
              </w:rPr>
              <w:t>7</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sz w:val="21"/>
                <w:szCs w:val="21"/>
              </w:rPr>
              <w:t>投标报价有缺漏项目</w:t>
            </w:r>
            <w:r>
              <w:rPr>
                <w:rFonts w:hint="eastAsia"/>
                <w:sz w:val="21"/>
                <w:szCs w:val="21"/>
              </w:rPr>
              <w:t>，</w:t>
            </w:r>
            <w:r>
              <w:rPr>
                <w:sz w:val="21"/>
                <w:szCs w:val="21"/>
              </w:rPr>
              <w:t>或者对招标文件规定的项目需求内容或者需求数量进行修改，评审委员会判定投标响应不满足采购需求；</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sz w:val="21"/>
                <w:szCs w:val="21"/>
              </w:rPr>
              <w:t>8</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sz w:val="21"/>
                <w:szCs w:val="21"/>
              </w:rPr>
              <w:t>投标文件存在列放位置错误，导致属于信息公开情形的没有被公开；</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sz w:val="21"/>
                <w:szCs w:val="21"/>
              </w:rPr>
              <w:t>9</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sz w:val="21"/>
                <w:szCs w:val="21"/>
              </w:rPr>
              <w:t>投标文件电子文档带病毒；</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sz w:val="21"/>
                <w:szCs w:val="21"/>
              </w:rPr>
              <w:t>10</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sz w:val="21"/>
                <w:szCs w:val="21"/>
              </w:rPr>
              <w:t>投标文件用不属于本公司的电子密钥进行加密的；</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sz w:val="21"/>
                <w:szCs w:val="21"/>
              </w:rPr>
              <w:t>11</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sz w:val="21"/>
                <w:szCs w:val="21"/>
              </w:rPr>
              <w:t>误选了非本项目的最新加密规则文件，导致投标文件不能在开标时解密；</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sz w:val="21"/>
                <w:szCs w:val="21"/>
              </w:rPr>
            </w:pPr>
            <w:r>
              <w:rPr>
                <w:rFonts w:hint="eastAsia"/>
                <w:sz w:val="21"/>
                <w:szCs w:val="21"/>
              </w:rPr>
              <w:t>1</w:t>
            </w:r>
            <w:r>
              <w:rPr>
                <w:sz w:val="21"/>
                <w:szCs w:val="21"/>
              </w:rPr>
              <w:t>2</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rFonts w:hint="eastAsia"/>
                <w:sz w:val="21"/>
                <w:szCs w:val="21"/>
              </w:rPr>
              <w:t>供应商上传投标文件的电脑机器码、IP地址相同（由采购代理机构为供应商提供辅助上传同一IP地址的情形除外）；</w:t>
            </w:r>
          </w:p>
        </w:tc>
      </w:tr>
      <w:tr>
        <w:tblPrEx>
          <w:tblW w:w="4999" w:type="pct"/>
          <w:jc w:val="center"/>
          <w:tblCellMar>
            <w:top w:w="20" w:type="dxa"/>
            <w:left w:w="108" w:type="dxa"/>
            <w:bottom w:w="20" w:type="dxa"/>
            <w:right w:w="108" w:type="dxa"/>
          </w:tblCellMar>
        </w:tblPrEx>
        <w:trPr>
          <w:jc w:val="center"/>
        </w:trPr>
        <w:tc>
          <w:tcPr>
            <w:tcW w:w="437" w:type="pct"/>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cs="宋体"/>
                <w:sz w:val="21"/>
                <w:szCs w:val="21"/>
              </w:rPr>
            </w:pPr>
            <w:r>
              <w:rPr>
                <w:sz w:val="21"/>
                <w:szCs w:val="21"/>
              </w:rPr>
              <w:t>13</w:t>
            </w:r>
          </w:p>
        </w:tc>
        <w:tc>
          <w:tcPr>
            <w:tcW w:w="4562" w:type="pct"/>
            <w:tcBorders>
              <w:top w:val="single" w:sz="8" w:space="0" w:color="000000"/>
              <w:left w:val="single" w:sz="8" w:space="0" w:color="000000"/>
              <w:bottom w:val="single" w:sz="8" w:space="0" w:color="000000"/>
              <w:right w:val="single" w:sz="8" w:space="0" w:color="000000"/>
            </w:tcBorders>
          </w:tcPr>
          <w:p>
            <w:pPr>
              <w:rPr>
                <w:rFonts w:ascii="宋体" w:hAnsi="宋体" w:cs="宋体"/>
                <w:sz w:val="21"/>
                <w:szCs w:val="21"/>
              </w:rPr>
            </w:pPr>
            <w:r>
              <w:rPr>
                <w:rFonts w:eastAsia="宋体" w:hint="eastAsia"/>
                <w:sz w:val="21"/>
                <w:szCs w:val="21"/>
                <w:lang w:eastAsia="zh-CN"/>
              </w:rPr>
              <w:t>法律法规</w:t>
            </w:r>
            <w:r>
              <w:rPr>
                <w:sz w:val="21"/>
                <w:szCs w:val="21"/>
              </w:rPr>
              <w:t>、规章、规范性文件规定的其他情形</w:t>
            </w:r>
            <w:r>
              <w:rPr>
                <w:rFonts w:hint="eastAsia"/>
                <w:sz w:val="21"/>
                <w:szCs w:val="21"/>
              </w:rPr>
              <w:t>。</w:t>
            </w:r>
          </w:p>
        </w:tc>
      </w:tr>
    </w:tbl>
    <w:p>
      <w:pPr>
        <w:pStyle w:val="NormalWeb"/>
        <w:jc w:val="center"/>
        <w:outlineLvl w:val="1"/>
        <w:rPr>
          <w:rFonts w:ascii="黑体" w:eastAsia="黑体" w:hAnsi="宋体" w:cs="黑体"/>
          <w:sz w:val="40"/>
          <w:szCs w:val="40"/>
        </w:rPr>
      </w:pPr>
      <w:r>
        <w:rPr>
          <w:rFonts w:ascii="黑体" w:eastAsia="黑体" w:hAnsi="宋体" w:cs="黑体" w:hint="eastAsia"/>
          <w:sz w:val="40"/>
          <w:szCs w:val="40"/>
        </w:rPr>
        <w:t>评标信息</w:t>
      </w:r>
    </w:p>
    <w:p>
      <w:pPr>
        <w:rPr>
          <w:vanish/>
        </w:rPr>
      </w:pPr>
    </w:p>
    <w:tbl>
      <w:tblPr>
        <w:tblStyle w:val="TableNormal"/>
        <w:tblW w:w="0" w:type="auto"/>
        <w:jc w:val="center"/>
        <w:tblCellSpacing w:w="0" w:type="dxa"/>
        <w:tblCellMar>
          <w:top w:w="45" w:type="dxa"/>
          <w:left w:w="45" w:type="dxa"/>
          <w:bottom w:w="45" w:type="dxa"/>
          <w:right w:w="45" w:type="dxa"/>
        </w:tblCellMar>
      </w:tblPr>
      <w:tblGrid>
        <w:gridCol w:w="738"/>
        <w:gridCol w:w="523"/>
        <w:gridCol w:w="1220"/>
        <w:gridCol w:w="910"/>
        <w:gridCol w:w="5005"/>
      </w:tblGrid>
      <w:tr>
        <w:tblPrEx>
          <w:tblW w:w="0" w:type="auto"/>
          <w:jc w:val="center"/>
          <w:tblCellSpacing w:w="0" w:type="dxa"/>
          <w:tblCellMar>
            <w:top w:w="45" w:type="dxa"/>
            <w:left w:w="45" w:type="dxa"/>
            <w:bottom w:w="45" w:type="dxa"/>
            <w:right w:w="45" w:type="dxa"/>
          </w:tblCellMar>
        </w:tblPrEx>
        <w:trPr>
          <w:gridBefore w:val="1"/>
          <w:wBefore w:w="738" w:type="dxa"/>
          <w:tblCellSpacing w:w="0" w:type="dxa"/>
          <w:jc w:val="center"/>
        </w:trPr>
        <w:tc>
          <w:tcPr>
            <w:tcW w:w="0" w:type="auto"/>
            <w:gridSpan w:val="3"/>
            <w:vAlign w:val="center"/>
          </w:tcPr>
          <w:p>
            <w:pPr>
              <w:spacing w:line="240" w:lineRule="auto"/>
              <w:rPr>
                <w:rFonts w:ascii="宋体" w:eastAsia="宋体" w:hAnsi="宋体" w:cs="宋体" w:hint="eastAsia"/>
                <w:b/>
                <w:sz w:val="24"/>
                <w:szCs w:val="24"/>
              </w:rPr>
            </w:pPr>
            <w:r>
              <w:rPr>
                <w:rFonts w:ascii="宋体" w:eastAsia="宋体" w:hAnsi="宋体" w:cs="宋体" w:hint="eastAsia"/>
                <w:b/>
                <w:sz w:val="24"/>
                <w:szCs w:val="24"/>
              </w:rPr>
              <w:t>评标方法：综合评分法（新价格分算法）</w:t>
            </w:r>
          </w:p>
        </w:tc>
        <w:tc>
          <w:tcPr>
            <w:tcW w:w="0" w:type="auto"/>
            <w:vAlign w:val="center"/>
          </w:tcPr>
          <w:p>
            <w:pPr>
              <w:spacing w:line="240" w:lineRule="auto"/>
              <w:jc w:val="right"/>
              <w:rPr>
                <w:rFonts w:ascii="宋体" w:eastAsia="宋体" w:hAnsi="宋体" w:cs="宋体" w:hint="eastAsia"/>
                <w:b/>
                <w:sz w:val="24"/>
                <w:szCs w:val="24"/>
              </w:rPr>
            </w:pPr>
          </w:p>
        </w:tc>
      </w:tr>
      <w:tr>
        <w:tblPrEx>
          <w:tblW w:w="0" w:type="auto"/>
          <w:jc w:val="center"/>
          <w:tblCellSpacing w:w="0" w:type="dxa"/>
          <w:tblCellMar>
            <w:top w:w="45" w:type="dxa"/>
            <w:left w:w="45" w:type="dxa"/>
            <w:bottom w:w="45" w:type="dxa"/>
            <w:right w:w="45" w:type="dxa"/>
          </w:tblCellMar>
        </w:tblPrEx>
        <w:trPr>
          <w:gridBefore w:val="1"/>
          <w:wBefore w:w="738" w:type="dxa"/>
          <w:tblCellSpacing w:w="0" w:type="dxa"/>
          <w:jc w:val="center"/>
        </w:trPr>
        <w:tc>
          <w:tcPr>
            <w:tcW w:w="0" w:type="auto"/>
            <w:gridSpan w:val="4"/>
            <w:vAlign w:val="center"/>
          </w:tcPr>
          <w:p>
            <w:pPr>
              <w:pStyle w:val="NormalWeb"/>
              <w:spacing w:line="240" w:lineRule="auto"/>
              <w:ind w:firstLine="420"/>
              <w:rPr>
                <w:rFonts w:ascii="宋体" w:eastAsia="宋体" w:hAnsi="宋体" w:cs="宋体" w:hint="eastAsia"/>
                <w:sz w:val="24"/>
                <w:szCs w:val="24"/>
              </w:rPr>
            </w:pPr>
            <w:r>
              <w:rPr>
                <w:rFonts w:ascii="宋体" w:eastAsia="宋体" w:hAnsi="宋体" w:cs="宋体" w:hint="eastAsia"/>
                <w:sz w:val="24"/>
                <w:szCs w:val="24"/>
              </w:rPr>
              <w:t xml:space="preserve">综合评分法，是指投标文件满足招标文件全部实质性要求，且按照评审因素的量化指标评审得分最高的投标人为中标候选人的评标方法。 </w:t>
            </w:r>
          </w:p>
          <w:p>
            <w:pPr>
              <w:pStyle w:val="NormalWeb"/>
              <w:spacing w:line="240" w:lineRule="auto"/>
              <w:ind w:firstLine="420"/>
              <w:rPr>
                <w:rFonts w:ascii="宋体" w:eastAsia="宋体" w:hAnsi="宋体" w:cs="宋体" w:hint="eastAsia"/>
                <w:sz w:val="24"/>
                <w:szCs w:val="24"/>
              </w:rPr>
            </w:pPr>
            <w:r>
              <w:rPr>
                <w:rFonts w:ascii="宋体" w:eastAsia="宋体" w:hAnsi="宋体" w:cs="宋体" w:hint="eastAsia"/>
                <w:sz w:val="24"/>
                <w:szCs w:val="24"/>
              </w:rPr>
              <w:t>价格分计算方法：</w:t>
            </w:r>
          </w:p>
          <w:p>
            <w:pPr>
              <w:pStyle w:val="NormalWeb"/>
              <w:spacing w:line="240" w:lineRule="auto"/>
              <w:ind w:left="420"/>
              <w:rPr>
                <w:rFonts w:ascii="宋体" w:eastAsia="宋体" w:hAnsi="宋体" w:cs="宋体" w:hint="eastAsia"/>
                <w:sz w:val="24"/>
                <w:szCs w:val="24"/>
              </w:rPr>
            </w:pPr>
            <w:r>
              <w:rPr>
                <w:rFonts w:ascii="宋体" w:eastAsia="宋体" w:hAnsi="宋体" w:cs="宋体" w:hint="eastAsia"/>
                <w:sz w:val="24"/>
                <w:szCs w:val="24"/>
              </w:rPr>
              <w:t xml:space="preserve">采用低价优先法计算，即满足招标文件要求且投标价格最低的投标报价为评标基准价，其价格分为满分。其他投标人的价格分统一按照下列公式计算： </w:t>
            </w:r>
          </w:p>
          <w:p>
            <w:pPr>
              <w:pStyle w:val="NormalWeb"/>
              <w:spacing w:line="240" w:lineRule="auto"/>
              <w:ind w:left="420"/>
              <w:rPr>
                <w:rFonts w:ascii="宋体" w:eastAsia="宋体" w:hAnsi="宋体" w:cs="宋体" w:hint="eastAsia"/>
                <w:sz w:val="24"/>
                <w:szCs w:val="24"/>
              </w:rPr>
            </w:pPr>
            <w:r>
              <w:rPr>
                <w:rFonts w:ascii="宋体" w:eastAsia="宋体" w:hAnsi="宋体" w:cs="宋体" w:hint="eastAsia"/>
                <w:sz w:val="24"/>
                <w:szCs w:val="24"/>
              </w:rPr>
              <w:t xml:space="preserve">投标报价得分=(评标基准价／投标报价)×100 </w:t>
            </w:r>
          </w:p>
          <w:p>
            <w:pPr>
              <w:pStyle w:val="NormalWeb"/>
              <w:spacing w:line="240" w:lineRule="auto"/>
              <w:ind w:left="420"/>
              <w:rPr>
                <w:rFonts w:ascii="宋体" w:eastAsia="宋体" w:hAnsi="宋体" w:cs="宋体" w:hint="eastAsia"/>
                <w:sz w:val="24"/>
                <w:szCs w:val="24"/>
              </w:rPr>
            </w:pPr>
            <w:r>
              <w:rPr>
                <w:rFonts w:ascii="宋体" w:eastAsia="宋体" w:hAnsi="宋体" w:cs="宋体" w:hint="eastAsia"/>
                <w:sz w:val="24"/>
                <w:szCs w:val="24"/>
              </w:rPr>
              <w:t xml:space="preserve">评标总得分＝F1×A1＋F2×A2＋……＋Fn×An </w:t>
            </w:r>
          </w:p>
          <w:p>
            <w:pPr>
              <w:pStyle w:val="NormalWeb"/>
              <w:spacing w:line="240" w:lineRule="auto"/>
              <w:ind w:left="420"/>
              <w:rPr>
                <w:rFonts w:ascii="宋体" w:eastAsia="宋体" w:hAnsi="宋体" w:cs="宋体" w:hint="eastAsia"/>
                <w:sz w:val="24"/>
                <w:szCs w:val="24"/>
              </w:rPr>
            </w:pPr>
            <w:r>
              <w:rPr>
                <w:rFonts w:ascii="宋体" w:eastAsia="宋体" w:hAnsi="宋体" w:cs="宋体" w:hint="eastAsia"/>
                <w:sz w:val="24"/>
                <w:szCs w:val="24"/>
              </w:rPr>
              <w:t xml:space="preserve">F1、F2……Fn分别为各项评审因素的得分； </w:t>
            </w:r>
          </w:p>
          <w:p>
            <w:pPr>
              <w:pStyle w:val="NormalWeb"/>
              <w:spacing w:line="240" w:lineRule="auto"/>
              <w:ind w:left="420"/>
              <w:rPr>
                <w:rFonts w:ascii="宋体" w:eastAsia="宋体" w:hAnsi="宋体" w:cs="宋体" w:hint="eastAsia"/>
                <w:sz w:val="24"/>
                <w:szCs w:val="24"/>
              </w:rPr>
            </w:pPr>
            <w:r>
              <w:rPr>
                <w:rFonts w:ascii="宋体" w:eastAsia="宋体" w:hAnsi="宋体" w:cs="宋体" w:hint="eastAsia"/>
                <w:sz w:val="24"/>
                <w:szCs w:val="24"/>
              </w:rPr>
              <w:t>A1、A2、……An 分别为各项评审因素所占的权重</w:t>
            </w:r>
            <w:r>
              <w:rPr>
                <w:rFonts w:ascii="宋体" w:eastAsia="宋体" w:hAnsi="宋体" w:cs="宋体" w:hint="eastAsia"/>
                <w:sz w:val="24"/>
                <w:szCs w:val="24"/>
                <w:lang w:eastAsia="zh-CN"/>
              </w:rPr>
              <w:t>（</w:t>
            </w:r>
            <w:r>
              <w:rPr>
                <w:rFonts w:ascii="宋体" w:eastAsia="宋体" w:hAnsi="宋体" w:cs="宋体" w:hint="eastAsia"/>
                <w:sz w:val="24"/>
                <w:szCs w:val="24"/>
              </w:rPr>
              <w:t>A1＋A2＋……＋An＝1</w:t>
            </w:r>
            <w:r>
              <w:rPr>
                <w:rFonts w:ascii="宋体" w:eastAsia="宋体" w:hAnsi="宋体" w:cs="宋体" w:hint="eastAsia"/>
                <w:sz w:val="24"/>
                <w:szCs w:val="24"/>
                <w:lang w:eastAsia="zh-CN"/>
              </w:rPr>
              <w:t>）</w:t>
            </w:r>
            <w:r>
              <w:rPr>
                <w:rFonts w:ascii="宋体" w:eastAsia="宋体" w:hAnsi="宋体" w:cs="宋体" w:hint="eastAsia"/>
                <w:sz w:val="24"/>
                <w:szCs w:val="24"/>
              </w:rPr>
              <w:t xml:space="preserve">。 </w:t>
            </w:r>
          </w:p>
          <w:p>
            <w:pPr>
              <w:pStyle w:val="NormalWeb"/>
              <w:spacing w:line="240" w:lineRule="auto"/>
              <w:ind w:left="420"/>
              <w:rPr>
                <w:rFonts w:ascii="宋体" w:eastAsia="宋体" w:hAnsi="宋体" w:cs="宋体" w:hint="eastAsia"/>
                <w:sz w:val="24"/>
                <w:szCs w:val="24"/>
              </w:rPr>
            </w:pPr>
            <w:r>
              <w:rPr>
                <w:rFonts w:ascii="宋体" w:eastAsia="宋体" w:hAnsi="宋体" w:cs="宋体" w:hint="eastAsia"/>
                <w:sz w:val="24"/>
                <w:szCs w:val="24"/>
              </w:rPr>
              <w:t xml:space="preserve">评标过程中，不得去掉报价中的最高报价和最低报价。 </w:t>
            </w:r>
          </w:p>
          <w:p>
            <w:pPr>
              <w:pStyle w:val="NormalWeb"/>
              <w:spacing w:line="240" w:lineRule="auto"/>
              <w:ind w:left="420"/>
              <w:rPr>
                <w:rFonts w:ascii="宋体" w:eastAsia="宋体" w:hAnsi="宋体" w:cs="宋体" w:hint="eastAsia"/>
                <w:sz w:val="24"/>
                <w:szCs w:val="24"/>
              </w:rPr>
            </w:pPr>
            <w:r>
              <w:rPr>
                <w:rFonts w:ascii="宋体" w:eastAsia="宋体" w:hAnsi="宋体" w:cs="宋体" w:hint="eastAsia"/>
                <w:sz w:val="24"/>
                <w:szCs w:val="24"/>
              </w:rPr>
              <w:t xml:space="preserve">此方法适用于货物类、服务类、工程类项目。 </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spacing w:line="240" w:lineRule="auto"/>
              <w:jc w:val="center"/>
              <w:rPr>
                <w:rFonts w:ascii="宋体" w:eastAsia="宋体" w:hAnsi="宋体" w:cs="宋体" w:hint="eastAsia"/>
                <w:b/>
                <w:bCs/>
                <w:sz w:val="24"/>
                <w:szCs w:val="24"/>
              </w:rPr>
            </w:pPr>
            <w:bookmarkStart w:id="0" w:name="_Hlk72360569"/>
            <w:r>
              <w:rPr>
                <w:rFonts w:ascii="宋体" w:eastAsia="宋体" w:hAnsi="宋体" w:cs="宋体" w:hint="eastAsia"/>
                <w:b/>
                <w:bCs/>
                <w:sz w:val="24"/>
                <w:szCs w:val="24"/>
              </w:rPr>
              <w:t>序号</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spacing w:line="240" w:lineRule="auto"/>
              <w:jc w:val="center"/>
              <w:rPr>
                <w:rFonts w:ascii="宋体" w:eastAsia="宋体" w:hAnsi="宋体" w:cs="宋体" w:hint="eastAsia"/>
                <w:b/>
                <w:bCs/>
                <w:sz w:val="24"/>
                <w:szCs w:val="24"/>
              </w:rPr>
            </w:pPr>
            <w:r>
              <w:rPr>
                <w:rFonts w:ascii="宋体" w:eastAsia="宋体" w:hAnsi="宋体" w:cs="宋体" w:hint="eastAsia"/>
                <w:b/>
                <w:bCs/>
                <w:sz w:val="24"/>
                <w:szCs w:val="24"/>
              </w:rPr>
              <w:t>评分项</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spacing w:line="240" w:lineRule="auto"/>
              <w:jc w:val="center"/>
              <w:rPr>
                <w:rFonts w:ascii="宋体" w:eastAsia="宋体" w:hAnsi="宋体" w:cs="宋体" w:hint="eastAsia"/>
                <w:b/>
                <w:bCs/>
                <w:sz w:val="24"/>
                <w:szCs w:val="24"/>
              </w:rPr>
            </w:pPr>
            <w:r>
              <w:rPr>
                <w:rFonts w:ascii="宋体" w:eastAsia="宋体" w:hAnsi="宋体" w:cs="宋体" w:hint="eastAsia"/>
                <w:b/>
                <w:bCs/>
                <w:sz w:val="24"/>
                <w:szCs w:val="24"/>
              </w:rPr>
              <w:t>权重</w:t>
            </w:r>
            <w:r>
              <w:rPr>
                <w:rFonts w:ascii="宋体" w:eastAsia="宋体" w:hAnsi="宋体" w:cs="宋体" w:hint="eastAsia"/>
                <w:b/>
                <w:bCs/>
                <w:sz w:val="24"/>
                <w:szCs w:val="24"/>
                <w:lang w:eastAsia="zh-CN"/>
              </w:rPr>
              <w:t>（</w:t>
            </w:r>
            <w:r>
              <w:rPr>
                <w:rFonts w:ascii="宋体" w:eastAsia="宋体" w:hAnsi="宋体" w:cs="宋体" w:hint="eastAsia"/>
                <w:b/>
                <w:bCs/>
                <w:sz w:val="24"/>
                <w:szCs w:val="24"/>
              </w:rPr>
              <w:t>%</w:t>
            </w:r>
            <w:r>
              <w:rPr>
                <w:rFonts w:ascii="宋体" w:eastAsia="宋体" w:hAnsi="宋体" w:cs="宋体" w:hint="eastAsia"/>
                <w:b/>
                <w:bCs/>
                <w:sz w:val="24"/>
                <w:szCs w:val="24"/>
                <w:lang w:eastAsia="zh-CN"/>
              </w:rPr>
              <w:t>）</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b/>
                <w:bCs/>
                <w:color w:val="0000FF"/>
                <w:sz w:val="24"/>
                <w:szCs w:val="24"/>
              </w:rPr>
            </w:pPr>
            <w:r>
              <w:rPr>
                <w:rFonts w:ascii="宋体" w:eastAsia="宋体" w:hAnsi="宋体" w:cs="宋体" w:hint="eastAsia"/>
                <w:b/>
                <w:bCs/>
                <w:color w:val="0000FF"/>
                <w:sz w:val="24"/>
                <w:szCs w:val="24"/>
              </w:rPr>
              <w:t>1</w:t>
            </w:r>
          </w:p>
        </w:tc>
        <w:tc>
          <w:tcPr>
            <w:tcW w:w="0" w:type="auto"/>
            <w:gridSpan w:val="3"/>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b/>
                <w:bCs/>
                <w:color w:val="0000FF"/>
                <w:sz w:val="24"/>
                <w:szCs w:val="24"/>
              </w:rPr>
            </w:pPr>
            <w:r>
              <w:rPr>
                <w:rFonts w:ascii="宋体" w:eastAsia="宋体" w:hAnsi="宋体" w:cs="宋体" w:hint="eastAsia"/>
                <w:b/>
                <w:bCs/>
                <w:color w:val="0000FF"/>
                <w:sz w:val="24"/>
                <w:szCs w:val="24"/>
              </w:rPr>
              <w:t>价格</w:t>
            </w: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b/>
                <w:bCs/>
                <w:color w:val="0000FF"/>
                <w:sz w:val="24"/>
                <w:szCs w:val="24"/>
              </w:rPr>
            </w:pPr>
            <w:r>
              <w:rPr>
                <w:rFonts w:ascii="宋体" w:eastAsia="宋体" w:hAnsi="宋体" w:cs="宋体" w:hint="eastAsia"/>
                <w:b/>
                <w:bCs/>
                <w:color w:val="0000FF"/>
                <w:sz w:val="24"/>
                <w:szCs w:val="24"/>
              </w:rPr>
              <w:t>30</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spacing w:line="240" w:lineRule="auto"/>
              <w:rPr>
                <w:rFonts w:ascii="宋体" w:eastAsia="宋体" w:hAnsi="宋体" w:cs="宋体" w:hint="eastAsia"/>
                <w:sz w:val="24"/>
                <w:szCs w:val="24"/>
              </w:rPr>
            </w:pPr>
          </w:p>
        </w:tc>
        <w:tc>
          <w:tcPr>
            <w:tcW w:w="0" w:type="auto"/>
            <w:gridSpan w:val="4"/>
            <w:tcBorders>
              <w:top w:val="single" w:sz="8" w:space="0" w:color="000000"/>
              <w:left w:val="single" w:sz="8" w:space="0" w:color="000000"/>
              <w:bottom w:val="single" w:sz="8" w:space="0" w:color="000000"/>
              <w:right w:val="single" w:sz="8" w:space="0" w:color="000000"/>
            </w:tcBorders>
          </w:tcPr>
          <w:p>
            <w:pPr>
              <w:widowControl w:val="0"/>
              <w:spacing w:line="240" w:lineRule="auto"/>
              <w:jc w:val="both"/>
              <w:rPr>
                <w:rFonts w:ascii="宋体" w:eastAsia="宋体" w:hAnsi="宋体" w:cs="宋体" w:hint="eastAsia"/>
                <w:sz w:val="24"/>
                <w:szCs w:val="24"/>
              </w:rPr>
            </w:pP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b/>
                <w:bCs/>
                <w:color w:val="0000FF"/>
                <w:sz w:val="24"/>
                <w:szCs w:val="24"/>
              </w:rPr>
            </w:pPr>
            <w:r>
              <w:rPr>
                <w:rFonts w:ascii="宋体" w:eastAsia="宋体" w:hAnsi="宋体" w:cs="宋体" w:hint="eastAsia"/>
                <w:b/>
                <w:bCs/>
                <w:color w:val="0000FF"/>
                <w:sz w:val="24"/>
                <w:szCs w:val="24"/>
              </w:rPr>
              <w:t>2</w:t>
            </w:r>
          </w:p>
        </w:tc>
        <w:tc>
          <w:tcPr>
            <w:tcW w:w="0" w:type="auto"/>
            <w:gridSpan w:val="3"/>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b/>
                <w:bCs/>
                <w:color w:val="0000FF"/>
                <w:sz w:val="24"/>
                <w:szCs w:val="24"/>
              </w:rPr>
            </w:pPr>
            <w:r>
              <w:rPr>
                <w:rFonts w:ascii="宋体" w:eastAsia="宋体" w:hAnsi="宋体" w:cs="宋体" w:hint="eastAsia"/>
                <w:b/>
                <w:bCs/>
                <w:color w:val="0000FF"/>
                <w:sz w:val="24"/>
                <w:szCs w:val="24"/>
              </w:rPr>
              <w:t>技术部分</w:t>
            </w: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b/>
                <w:bCs/>
                <w:color w:val="0000FF"/>
                <w:sz w:val="24"/>
                <w:szCs w:val="24"/>
                <w:lang w:val="en-US" w:eastAsia="zh-CN"/>
              </w:rPr>
            </w:pPr>
            <w:r>
              <w:rPr>
                <w:rFonts w:ascii="宋体" w:eastAsia="宋体" w:hAnsi="宋体" w:cs="宋体" w:hint="eastAsia"/>
                <w:b/>
                <w:bCs/>
                <w:color w:val="0000FF"/>
                <w:sz w:val="24"/>
                <w:szCs w:val="24"/>
                <w:lang w:val="en-US" w:eastAsia="zh-CN"/>
              </w:rPr>
              <w:t>50</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spacing w:line="240" w:lineRule="auto"/>
              <w:rPr>
                <w:rFonts w:ascii="宋体" w:eastAsia="宋体" w:hAnsi="宋体" w:cs="宋体" w:hint="eastAsia"/>
                <w:sz w:val="24"/>
                <w:szCs w:val="24"/>
              </w:rPr>
            </w:pPr>
          </w:p>
        </w:tc>
        <w:tc>
          <w:tcPr>
            <w:tcW w:w="0" w:type="auto"/>
            <w:gridSpan w:val="4"/>
            <w:tcBorders>
              <w:top w:val="single" w:sz="8" w:space="0" w:color="000000"/>
              <w:left w:val="single" w:sz="8" w:space="0" w:color="000000"/>
              <w:bottom w:val="single" w:sz="8" w:space="0" w:color="000000"/>
              <w:right w:val="single" w:sz="8" w:space="0" w:color="000000"/>
            </w:tcBorders>
          </w:tcPr>
          <w:p>
            <w:pPr>
              <w:widowControl w:val="0"/>
              <w:spacing w:line="240" w:lineRule="auto"/>
              <w:jc w:val="both"/>
              <w:rPr>
                <w:rFonts w:ascii="宋体" w:eastAsia="宋体" w:hAnsi="宋体" w:cs="宋体" w:hint="eastAsia"/>
                <w:sz w:val="24"/>
                <w:szCs w:val="24"/>
              </w:rPr>
            </w:pP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shd w:val="clear" w:color="auto" w:fill="auto"/>
            <w:vAlign w:val="center"/>
          </w:tcPr>
          <w:p>
            <w:pPr>
              <w:spacing w:line="240" w:lineRule="auto"/>
              <w:rPr>
                <w:rFonts w:ascii="宋体" w:eastAsia="宋体" w:hAnsi="宋体" w:cs="宋体" w:hint="eastAsia"/>
                <w:sz w:val="24"/>
                <w:szCs w:val="24"/>
              </w:rPr>
            </w:pPr>
          </w:p>
        </w:tc>
        <w:tc>
          <w:tcPr>
            <w:tcW w:w="0" w:type="auto"/>
            <w:tcBorders>
              <w:top w:val="inset" w:sz="6" w:space="0" w:color="000000"/>
              <w:left w:val="inset" w:sz="6" w:space="0" w:color="000000"/>
              <w:bottom w:val="inset" w:sz="6" w:space="0" w:color="000000"/>
              <w:right w:val="inset" w:sz="6" w:space="0" w:color="000000"/>
            </w:tcBorders>
            <w:shd w:val="clear" w:color="auto" w:fill="E6EFFA"/>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序号</w:t>
            </w:r>
          </w:p>
        </w:tc>
        <w:tc>
          <w:tcPr>
            <w:tcW w:w="0" w:type="auto"/>
            <w:tcBorders>
              <w:top w:val="inset" w:sz="6" w:space="0" w:color="000000"/>
              <w:left w:val="inset" w:sz="6" w:space="0" w:color="000000"/>
              <w:bottom w:val="inset" w:sz="6" w:space="0" w:color="000000"/>
              <w:right w:val="inset" w:sz="6" w:space="0" w:color="000000"/>
            </w:tcBorders>
            <w:shd w:val="clear" w:color="auto" w:fill="E6EFFA"/>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评分因素</w:t>
            </w:r>
          </w:p>
        </w:tc>
        <w:tc>
          <w:tcPr>
            <w:tcW w:w="0" w:type="auto"/>
            <w:tcBorders>
              <w:top w:val="inset" w:sz="6" w:space="0" w:color="000000"/>
              <w:left w:val="inset" w:sz="6" w:space="0" w:color="000000"/>
              <w:bottom w:val="inset" w:sz="6" w:space="0" w:color="000000"/>
              <w:right w:val="inset" w:sz="6" w:space="0" w:color="000000"/>
            </w:tcBorders>
            <w:shd w:val="clear" w:color="auto" w:fill="E6EFFA"/>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权重</w:t>
            </w:r>
            <w:r>
              <w:rPr>
                <w:rFonts w:ascii="宋体" w:eastAsia="宋体" w:hAnsi="宋体" w:cs="宋体" w:hint="eastAsia"/>
                <w:sz w:val="24"/>
                <w:szCs w:val="24"/>
                <w:lang w:eastAsia="zh-CN"/>
              </w:rPr>
              <w:t>（</w:t>
            </w:r>
            <w:r>
              <w:rPr>
                <w:rFonts w:ascii="宋体" w:eastAsia="宋体" w:hAnsi="宋体" w:cs="宋体" w:hint="eastAsia"/>
                <w:sz w:val="24"/>
                <w:szCs w:val="24"/>
              </w:rPr>
              <w:t>%</w:t>
            </w:r>
            <w:r>
              <w:rPr>
                <w:rFonts w:ascii="宋体" w:eastAsia="宋体" w:hAnsi="宋体" w:cs="宋体" w:hint="eastAsia"/>
                <w:sz w:val="24"/>
                <w:szCs w:val="24"/>
                <w:lang w:eastAsia="zh-CN"/>
              </w:rPr>
              <w:t>）</w:t>
            </w:r>
          </w:p>
        </w:tc>
        <w:tc>
          <w:tcPr>
            <w:tcW w:w="0" w:type="auto"/>
            <w:tcBorders>
              <w:top w:val="inset" w:sz="6" w:space="0" w:color="000000"/>
              <w:left w:val="inset" w:sz="6" w:space="0" w:color="000000"/>
              <w:bottom w:val="inset" w:sz="6" w:space="0" w:color="000000"/>
              <w:right w:val="inset" w:sz="6" w:space="0" w:color="000000"/>
            </w:tcBorders>
            <w:shd w:val="clear" w:color="auto" w:fill="E6EFFA"/>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评分准则</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spacing w:line="240" w:lineRule="auto"/>
              <w:rPr>
                <w:rFonts w:ascii="宋体" w:eastAsia="宋体" w:hAnsi="宋体" w:cs="宋体" w:hint="eastAsia"/>
                <w:sz w:val="24"/>
                <w:szCs w:val="24"/>
              </w:rPr>
            </w:pP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textAlignment w:val="top"/>
              <w:rPr>
                <w:rFonts w:ascii="宋体" w:eastAsia="宋体" w:hAnsi="宋体" w:cs="宋体" w:hint="eastAsia"/>
                <w:sz w:val="24"/>
                <w:szCs w:val="24"/>
              </w:rPr>
            </w:pPr>
            <w:r>
              <w:rPr>
                <w:rFonts w:ascii="宋体" w:eastAsia="宋体" w:hAnsi="宋体" w:cs="宋体" w:hint="eastAsia"/>
                <w:sz w:val="24"/>
                <w:szCs w:val="24"/>
              </w:rPr>
              <w:t>1</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color w:val="auto"/>
                <w:sz w:val="24"/>
                <w:szCs w:val="24"/>
                <w:highlight w:val="yellow"/>
              </w:rPr>
            </w:pPr>
            <w:r>
              <w:rPr>
                <w:rFonts w:ascii="宋体" w:eastAsia="宋体" w:hAnsi="宋体" w:cs="宋体" w:hint="eastAsia"/>
                <w:color w:val="auto"/>
                <w:kern w:val="0"/>
                <w:sz w:val="24"/>
                <w:szCs w:val="24"/>
              </w:rPr>
              <w:t>技术规格偏离情况</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color w:val="auto"/>
                <w:sz w:val="24"/>
                <w:szCs w:val="24"/>
                <w:highlight w:val="yellow"/>
                <w:lang w:val="en-US"/>
              </w:rPr>
            </w:pPr>
            <w:r>
              <w:rPr>
                <w:rFonts w:ascii="宋体" w:eastAsia="宋体" w:hAnsi="宋体" w:cs="宋体" w:hint="eastAsia"/>
                <w:color w:val="auto"/>
                <w:sz w:val="24"/>
                <w:szCs w:val="24"/>
                <w:lang w:val="en-US" w:eastAsia="zh-CN"/>
              </w:rPr>
              <w:t>31</w:t>
            </w:r>
          </w:p>
        </w:tc>
        <w:tc>
          <w:tcPr>
            <w:tcW w:w="0" w:type="auto"/>
            <w:tcBorders>
              <w:top w:val="single" w:sz="8" w:space="0" w:color="000000"/>
              <w:left w:val="single" w:sz="8" w:space="0" w:color="000000"/>
              <w:bottom w:val="single" w:sz="8" w:space="0" w:color="000000"/>
              <w:right w:val="single" w:sz="8" w:space="0" w:color="000000"/>
            </w:tcBorders>
            <w:vAlign w:val="center"/>
          </w:tcPr>
          <w:p>
            <w:pPr>
              <w:widowControl/>
              <w:spacing w:line="240" w:lineRule="auto"/>
              <w:jc w:val="left"/>
              <w:rPr>
                <w:rFonts w:ascii="宋体" w:eastAsia="宋体" w:hAnsi="宋体" w:cs="宋体" w:hint="eastAsia"/>
                <w:color w:val="auto"/>
                <w:sz w:val="24"/>
                <w:szCs w:val="24"/>
                <w:highlight w:val="yellow"/>
              </w:rPr>
            </w:pPr>
            <w:r>
              <w:rPr>
                <w:rFonts w:ascii="宋体" w:eastAsia="宋体" w:hAnsi="宋体" w:cs="宋体" w:hint="eastAsia"/>
                <w:color w:val="auto"/>
                <w:sz w:val="24"/>
                <w:szCs w:val="24"/>
              </w:rPr>
              <w:t>投标人应如实填写《技术规格偏离表》，评审委员会根据技术需求参数响应情况进行打分，</w:t>
            </w:r>
            <w:r>
              <w:rPr>
                <w:rFonts w:ascii="宋体" w:eastAsia="宋体" w:hAnsi="宋体" w:cs="宋体" w:hint="eastAsia"/>
                <w:color w:val="auto"/>
                <w:sz w:val="24"/>
                <w:szCs w:val="24"/>
                <w:lang w:val="en-US" w:eastAsia="zh-CN"/>
              </w:rPr>
              <w:t>其中带“▲”指标项为重要参数，有一项不满足扣3分，非“▲”指标为一般参数，每一项不满足扣0.04分，扣完为止</w:t>
            </w:r>
            <w:r>
              <w:rPr>
                <w:rFonts w:ascii="宋体" w:eastAsia="宋体" w:hAnsi="宋体" w:cs="宋体" w:hint="eastAsia"/>
                <w:color w:val="auto"/>
                <w:sz w:val="24"/>
                <w:szCs w:val="24"/>
              </w:rPr>
              <w:t>。</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spacing w:line="240" w:lineRule="auto"/>
              <w:rPr>
                <w:rFonts w:ascii="宋体" w:eastAsia="宋体" w:hAnsi="宋体" w:cs="宋体" w:hint="eastAsia"/>
                <w:sz w:val="24"/>
                <w:szCs w:val="24"/>
              </w:rPr>
            </w:pP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2</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sz w:val="24"/>
                <w:szCs w:val="24"/>
              </w:rPr>
            </w:pPr>
            <w:r>
              <w:rPr>
                <w:rFonts w:ascii="宋体" w:eastAsia="宋体" w:hAnsi="宋体" w:cs="宋体" w:hint="eastAsia"/>
                <w:sz w:val="24"/>
                <w:szCs w:val="24"/>
              </w:rPr>
              <w:t>实施团队人员情况</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sz w:val="24"/>
                <w:szCs w:val="24"/>
              </w:rPr>
            </w:pPr>
            <w:r>
              <w:rPr>
                <w:rFonts w:ascii="宋体" w:eastAsia="宋体" w:hAnsi="宋体" w:cs="宋体" w:hint="eastAsia"/>
                <w:color w:val="auto"/>
                <w:sz w:val="24"/>
                <w:szCs w:val="24"/>
                <w:lang w:val="en-US" w:eastAsia="zh-CN"/>
              </w:rPr>
              <w:t>6</w:t>
            </w:r>
          </w:p>
        </w:tc>
        <w:tc>
          <w:tcPr>
            <w:tcW w:w="0" w:type="auto"/>
            <w:tcBorders>
              <w:top w:val="single" w:sz="8" w:space="0" w:color="000000"/>
              <w:left w:val="single" w:sz="8" w:space="0" w:color="000000"/>
              <w:bottom w:val="single" w:sz="8" w:space="0" w:color="000000"/>
              <w:right w:val="single" w:sz="8" w:space="0" w:color="000000"/>
            </w:tcBorders>
            <w:vAlign w:val="center"/>
          </w:tcPr>
          <w:p>
            <w:pPr>
              <w:pStyle w:val="F4"/>
              <w:spacing w:line="240" w:lineRule="auto"/>
              <w:jc w:val="left"/>
              <w:rPr>
                <w:rFonts w:ascii="宋体" w:eastAsia="宋体" w:hAnsi="宋体" w:cs="宋体" w:hint="eastAsia"/>
                <w:b/>
                <w:bCs/>
                <w:sz w:val="24"/>
                <w:szCs w:val="24"/>
              </w:rPr>
            </w:pPr>
            <w:r>
              <w:rPr>
                <w:rFonts w:ascii="宋体" w:eastAsia="宋体" w:hAnsi="宋体" w:cs="宋体" w:hint="eastAsia"/>
                <w:b/>
                <w:bCs/>
                <w:sz w:val="24"/>
                <w:szCs w:val="24"/>
              </w:rPr>
              <w:t>（一）评审内容：</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拟安排项目负责人及主要团队成员为投标单位员工（以社保为准），否则该人员情况不计分。在此基础上，按以下标准评分：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1.拟派1名项目负责人，具备以下资质证书：</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（1）具有研究生学历学位证书得6分；具有本科学历学位证书，得3分。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（2）具有工信部门和人社部门颁发的信息系统项目管理师（高级）证书得6分；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（3）具有中国网络安全审查技术与认证中心（CISAW）颁发的信息安全保障人员认证证书</w:t>
            </w:r>
            <w:r>
              <w:rPr>
                <w:rFonts w:ascii="宋体" w:eastAsia="宋体" w:hAnsi="宋体" w:cs="宋体" w:hint="eastAsia"/>
                <w:sz w:val="24"/>
                <w:szCs w:val="24"/>
                <w:lang w:eastAsia="zh-CN"/>
              </w:rPr>
              <w:t>（</w:t>
            </w:r>
            <w:r>
              <w:rPr>
                <w:rFonts w:ascii="宋体" w:eastAsia="宋体" w:hAnsi="宋体" w:cs="宋体" w:hint="eastAsia"/>
                <w:sz w:val="24"/>
                <w:szCs w:val="24"/>
              </w:rPr>
              <w:t>认证方向：安全运维</w:t>
            </w:r>
            <w:r>
              <w:rPr>
                <w:rFonts w:ascii="宋体" w:eastAsia="宋体" w:hAnsi="宋体" w:cs="宋体" w:hint="eastAsia"/>
                <w:sz w:val="24"/>
                <w:szCs w:val="24"/>
                <w:lang w:eastAsia="zh-CN"/>
              </w:rPr>
              <w:t>）</w:t>
            </w:r>
            <w:r>
              <w:rPr>
                <w:rFonts w:ascii="宋体" w:eastAsia="宋体" w:hAnsi="宋体" w:cs="宋体" w:hint="eastAsia"/>
                <w:sz w:val="24"/>
                <w:szCs w:val="24"/>
              </w:rPr>
              <w:t>得6分；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（4）具有信息通信网络运行管理员职业资格证书得6分；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（5）具有中国信息安全测评中心颁发的</w:t>
            </w:r>
            <w:r>
              <w:rPr>
                <w:rFonts w:ascii="宋体" w:eastAsia="宋体" w:hAnsi="宋体" w:cs="宋体" w:hint="eastAsia"/>
                <w:sz w:val="24"/>
                <w:szCs w:val="24"/>
                <w:lang w:eastAsia="zh-CN"/>
              </w:rPr>
              <w:t>注册</w:t>
            </w:r>
            <w:r>
              <w:rPr>
                <w:rFonts w:ascii="宋体" w:eastAsia="宋体" w:hAnsi="宋体" w:cs="宋体" w:hint="eastAsia"/>
                <w:sz w:val="24"/>
                <w:szCs w:val="24"/>
              </w:rPr>
              <w:t>信息安全工程师</w:t>
            </w:r>
            <w:r>
              <w:rPr>
                <w:rFonts w:ascii="宋体" w:eastAsia="宋体" w:hAnsi="宋体" w:cs="宋体" w:hint="eastAsia"/>
                <w:sz w:val="24"/>
                <w:szCs w:val="24"/>
                <w:lang w:eastAsia="zh-CN"/>
              </w:rPr>
              <w:t>（</w:t>
            </w:r>
            <w:r>
              <w:rPr>
                <w:rFonts w:ascii="宋体" w:eastAsia="宋体" w:hAnsi="宋体" w:cs="宋体" w:hint="eastAsia"/>
                <w:sz w:val="24"/>
                <w:szCs w:val="24"/>
              </w:rPr>
              <w:t>CISE</w:t>
            </w:r>
            <w:r>
              <w:rPr>
                <w:rFonts w:ascii="宋体" w:eastAsia="宋体" w:hAnsi="宋体" w:cs="宋体" w:hint="eastAsia"/>
                <w:sz w:val="24"/>
                <w:szCs w:val="24"/>
                <w:lang w:eastAsia="zh-CN"/>
              </w:rPr>
              <w:t>）</w:t>
            </w:r>
            <w:r>
              <w:rPr>
                <w:rFonts w:ascii="宋体" w:eastAsia="宋体" w:hAnsi="宋体" w:cs="宋体" w:hint="eastAsia"/>
                <w:sz w:val="24"/>
                <w:szCs w:val="24"/>
              </w:rPr>
              <w:t>证书得6分；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以上5项累计最高得30分；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2.拟安排的项目实施团队人员项目团队人员（项目负责人除外）至少4人，均要求全日制本科以上学历，否则不得分，在此基础上，按照以下要求进行评分：</w:t>
            </w:r>
          </w:p>
          <w:p>
            <w:pPr>
              <w:spacing w:line="240" w:lineRule="auto"/>
              <w:rPr>
                <w:rFonts w:ascii="宋体" w:eastAsia="宋体" w:hAnsi="宋体" w:cs="宋体" w:hint="eastAsia"/>
                <w:sz w:val="24"/>
                <w:szCs w:val="24"/>
              </w:rPr>
            </w:pPr>
            <w:r>
              <w:rPr>
                <w:rFonts w:ascii="宋体" w:eastAsia="宋体" w:hAnsi="宋体" w:cs="宋体" w:hint="eastAsia"/>
                <w:sz w:val="24"/>
                <w:szCs w:val="24"/>
              </w:rPr>
              <w:t>（1）技术负责人（1人）：具有工信部门和人社部门颁发的网络规划设计师（高级）证书得10分，在此基础上，具有工信部门和人社部门颁发的通信专业技术人员中级或以上证书（专业：互联网技术）得10分，本项累计最高得20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（2）信息安全负责人（1人）：具有中国信息安全测评中心颁发的注册渗透测试工程师</w:t>
            </w:r>
            <w:r>
              <w:rPr>
                <w:rFonts w:ascii="宋体" w:eastAsia="宋体" w:hAnsi="宋体" w:cs="宋体" w:hint="eastAsia"/>
                <w:sz w:val="24"/>
                <w:szCs w:val="24"/>
                <w:lang w:eastAsia="zh-CN"/>
              </w:rPr>
              <w:t>（</w:t>
            </w:r>
            <w:r>
              <w:rPr>
                <w:rFonts w:ascii="宋体" w:eastAsia="宋体" w:hAnsi="宋体" w:cs="宋体" w:hint="eastAsia"/>
                <w:sz w:val="24"/>
                <w:szCs w:val="24"/>
              </w:rPr>
              <w:t>CISP-PTE</w:t>
            </w:r>
            <w:r>
              <w:rPr>
                <w:rFonts w:ascii="宋体" w:eastAsia="宋体" w:hAnsi="宋体" w:cs="宋体" w:hint="eastAsia"/>
                <w:sz w:val="24"/>
                <w:szCs w:val="24"/>
                <w:lang w:eastAsia="zh-CN"/>
              </w:rPr>
              <w:t>）</w:t>
            </w:r>
            <w:r>
              <w:rPr>
                <w:rFonts w:ascii="宋体" w:eastAsia="宋体" w:hAnsi="宋体" w:cs="宋体" w:hint="eastAsia"/>
                <w:sz w:val="24"/>
                <w:szCs w:val="24"/>
              </w:rPr>
              <w:t>得10分；在此基础上，具有中国信息安全测评中心颁发的</w:t>
            </w:r>
            <w:r>
              <w:rPr>
                <w:rFonts w:ascii="宋体" w:eastAsia="宋体" w:hAnsi="宋体" w:cs="宋体" w:hint="eastAsia"/>
                <w:sz w:val="24"/>
                <w:szCs w:val="24"/>
                <w:lang w:eastAsia="zh-CN"/>
              </w:rPr>
              <w:t>注册</w:t>
            </w:r>
            <w:r>
              <w:rPr>
                <w:rFonts w:ascii="宋体" w:eastAsia="宋体" w:hAnsi="宋体" w:cs="宋体" w:hint="eastAsia"/>
                <w:sz w:val="24"/>
                <w:szCs w:val="24"/>
              </w:rPr>
              <w:t>信息安全工程师</w:t>
            </w:r>
            <w:r>
              <w:rPr>
                <w:rFonts w:ascii="宋体" w:eastAsia="宋体" w:hAnsi="宋体" w:cs="宋体" w:hint="eastAsia"/>
                <w:sz w:val="24"/>
                <w:szCs w:val="24"/>
                <w:lang w:eastAsia="zh-CN"/>
              </w:rPr>
              <w:t>（</w:t>
            </w:r>
            <w:r>
              <w:rPr>
                <w:rFonts w:ascii="宋体" w:eastAsia="宋体" w:hAnsi="宋体" w:cs="宋体" w:hint="eastAsia"/>
                <w:sz w:val="24"/>
                <w:szCs w:val="24"/>
              </w:rPr>
              <w:t>CISE</w:t>
            </w:r>
            <w:r>
              <w:rPr>
                <w:rFonts w:ascii="宋体" w:eastAsia="宋体" w:hAnsi="宋体" w:cs="宋体" w:hint="eastAsia"/>
                <w:sz w:val="24"/>
                <w:szCs w:val="24"/>
                <w:lang w:eastAsia="zh-CN"/>
              </w:rPr>
              <w:t>）</w:t>
            </w:r>
            <w:r>
              <w:rPr>
                <w:rFonts w:ascii="宋体" w:eastAsia="宋体" w:hAnsi="宋体" w:cs="宋体" w:hint="eastAsia"/>
                <w:sz w:val="24"/>
                <w:szCs w:val="24"/>
              </w:rPr>
              <w:t>证书得10分，本项累计最高得20分。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（3）信息安全工程师（1人）：具有信息系统安全认证专业人员（CISSP）证书得10分；在此基础上，具有信息通信网络运行管理员职业资格证书得10分，本项累计最高得20分。</w:t>
            </w:r>
          </w:p>
          <w:p>
            <w:pPr>
              <w:spacing w:line="240" w:lineRule="auto"/>
              <w:rPr>
                <w:rFonts w:ascii="宋体" w:eastAsia="宋体" w:hAnsi="宋体" w:cs="宋体" w:hint="eastAsia"/>
                <w:sz w:val="24"/>
                <w:szCs w:val="24"/>
              </w:rPr>
            </w:pPr>
            <w:r>
              <w:rPr>
                <w:rFonts w:ascii="宋体" w:eastAsia="宋体" w:hAnsi="宋体" w:cs="宋体" w:hint="eastAsia"/>
                <w:sz w:val="24"/>
                <w:szCs w:val="24"/>
              </w:rPr>
              <w:t>（4）通信网络工程师（1人）：具有人社部门颁发的信息通信网络工程类高级工程师职称证书得5分，在此基础上，具有信息系统运维管理工程师（高级）证书得5分，本项累计最高得10分。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以上1-2项累计得分，累计最高得100分，团队人员仅可担任1个角色，同一人持有多证不重复计算得分，以最优得分计算。</w:t>
            </w:r>
          </w:p>
          <w:p>
            <w:pPr>
              <w:pStyle w:val="F4"/>
              <w:spacing w:line="240" w:lineRule="auto"/>
              <w:jc w:val="left"/>
              <w:rPr>
                <w:rFonts w:ascii="宋体" w:eastAsia="宋体" w:hAnsi="宋体" w:cs="宋体" w:hint="eastAsia"/>
                <w:b/>
                <w:bCs/>
                <w:sz w:val="24"/>
                <w:szCs w:val="24"/>
              </w:rPr>
            </w:pPr>
            <w:r>
              <w:rPr>
                <w:rFonts w:ascii="宋体" w:eastAsia="宋体" w:hAnsi="宋体" w:cs="宋体" w:hint="eastAsia"/>
                <w:b/>
                <w:bCs/>
                <w:sz w:val="24"/>
                <w:szCs w:val="24"/>
              </w:rPr>
              <w:t>（二）评分依据：</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1.要求提供通过投标人缴纳的近三个月的任意一个月的社保证明作为本单位员工的证明依据。若供应商成立不足三个月的，需提供成立情况说明函（格式自拟），无需提供相关人员社保，亦可得分；若为退休返聘人员，需提供说明函（格式自拟），无需提供相关人员社保，亦可得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2.要求提供相关证明资料作为得分依据。</w:t>
            </w:r>
          </w:p>
          <w:p>
            <w:pPr>
              <w:spacing w:line="240" w:lineRule="auto"/>
              <w:rPr>
                <w:rFonts w:ascii="宋体" w:eastAsia="宋体" w:hAnsi="宋体" w:cs="宋体" w:hint="eastAsia"/>
                <w:color w:val="FF0000"/>
                <w:sz w:val="24"/>
                <w:szCs w:val="24"/>
                <w:lang w:val="en-US" w:eastAsia="zh-CN" w:bidi="ar-SA"/>
              </w:rPr>
            </w:pPr>
            <w:r>
              <w:rPr>
                <w:rFonts w:ascii="宋体" w:eastAsia="宋体" w:hAnsi="宋体" w:cs="宋体" w:hint="eastAsia"/>
                <w:sz w:val="24"/>
                <w:szCs w:val="24"/>
              </w:rPr>
              <w:t>3.以上资料均要求提供扫描件或官网查询截图，原件备查。评分中出现无证明资料或专家无法凭所提供资料判断是否得分的情况，一律作不得分处理。</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spacing w:line="240" w:lineRule="auto"/>
              <w:rPr>
                <w:rFonts w:ascii="宋体" w:eastAsia="宋体" w:hAnsi="宋体" w:cs="宋体" w:hint="eastAsia"/>
                <w:sz w:val="24"/>
                <w:szCs w:val="24"/>
              </w:rPr>
            </w:pP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3</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sz w:val="24"/>
                <w:szCs w:val="24"/>
                <w:lang w:val="en-US" w:eastAsia="zh-CN" w:bidi="ar-SA"/>
              </w:rPr>
            </w:pPr>
            <w:r>
              <w:rPr>
                <w:rFonts w:ascii="宋体" w:eastAsia="宋体" w:hAnsi="宋体" w:cs="宋体" w:hint="eastAsia"/>
                <w:sz w:val="24"/>
                <w:szCs w:val="24"/>
                <w:lang w:val="en-US" w:eastAsia="zh-CN"/>
              </w:rPr>
              <w:t>售后服务方案</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sz w:val="24"/>
                <w:szCs w:val="24"/>
                <w:lang w:val="en-US" w:eastAsia="zh-CN" w:bidi="ar-SA"/>
              </w:rPr>
            </w:pPr>
            <w:r>
              <w:rPr>
                <w:rFonts w:ascii="宋体" w:eastAsia="宋体" w:hAnsi="宋体" w:cs="宋体" w:hint="eastAsia"/>
                <w:sz w:val="24"/>
                <w:szCs w:val="24"/>
                <w:lang w:val="en-US" w:eastAsia="zh-CN"/>
              </w:rPr>
              <w:t>3</w:t>
            </w:r>
          </w:p>
        </w:tc>
        <w:tc>
          <w:tcPr>
            <w:tcW w:w="0" w:type="auto"/>
            <w:tcBorders>
              <w:top w:val="single" w:sz="8" w:space="0" w:color="000000"/>
              <w:left w:val="single" w:sz="8" w:space="0" w:color="000000"/>
              <w:bottom w:val="single" w:sz="8" w:space="0" w:color="000000"/>
              <w:right w:val="single" w:sz="8" w:space="0" w:color="000000"/>
            </w:tcBorders>
            <w:vAlign w:val="top"/>
          </w:tcPr>
          <w:p>
            <w:pPr>
              <w:spacing w:line="240" w:lineRule="auto"/>
              <w:jc w:val="left"/>
              <w:rPr>
                <w:rFonts w:ascii="宋体" w:eastAsia="宋体" w:hAnsi="宋体" w:cs="宋体" w:hint="eastAsia"/>
                <w:b/>
                <w:bCs/>
                <w:sz w:val="24"/>
                <w:szCs w:val="24"/>
              </w:rPr>
            </w:pPr>
            <w:r>
              <w:rPr>
                <w:rFonts w:ascii="宋体" w:eastAsia="宋体" w:hAnsi="宋体" w:cs="宋体" w:hint="eastAsia"/>
                <w:b/>
                <w:bCs/>
                <w:sz w:val="24"/>
                <w:szCs w:val="24"/>
              </w:rPr>
              <w:t>（一）评审内容：</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投标人提供的售后服务方案应包括</w:t>
            </w:r>
            <w:r>
              <w:rPr>
                <w:rFonts w:ascii="宋体" w:eastAsia="宋体" w:hAnsi="宋体" w:cs="宋体" w:hint="eastAsia"/>
                <w:sz w:val="24"/>
                <w:szCs w:val="24"/>
                <w:lang w:eastAsia="zh-CN"/>
              </w:rPr>
              <w:t>：</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（1）响应时间；</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（2）服务内容；</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（3）维修应急方案；</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（4）培训计划；</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（5）考试期间保障服务。</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投标人每提供上述任意一项内容得</w:t>
            </w:r>
            <w:r>
              <w:rPr>
                <w:rFonts w:ascii="宋体" w:eastAsia="宋体" w:hAnsi="宋体" w:cs="宋体" w:hint="eastAsia"/>
                <w:sz w:val="24"/>
                <w:szCs w:val="24"/>
                <w:lang w:val="en-US" w:eastAsia="zh-CN"/>
              </w:rPr>
              <w:t>10</w:t>
            </w:r>
            <w:r>
              <w:rPr>
                <w:rFonts w:ascii="宋体" w:eastAsia="宋体" w:hAnsi="宋体" w:cs="宋体" w:hint="eastAsia"/>
                <w:sz w:val="24"/>
                <w:szCs w:val="24"/>
              </w:rPr>
              <w:t>分，累计最高得</w:t>
            </w:r>
            <w:r>
              <w:rPr>
                <w:rFonts w:ascii="宋体" w:eastAsia="宋体" w:hAnsi="宋体" w:cs="宋体" w:hint="eastAsia"/>
                <w:sz w:val="24"/>
                <w:szCs w:val="24"/>
                <w:lang w:val="en-US" w:eastAsia="zh-CN"/>
              </w:rPr>
              <w:t>50</w:t>
            </w:r>
            <w:r>
              <w:rPr>
                <w:rFonts w:ascii="宋体" w:eastAsia="宋体" w:hAnsi="宋体" w:cs="宋体" w:hint="eastAsia"/>
                <w:sz w:val="24"/>
                <w:szCs w:val="24"/>
              </w:rPr>
              <w:t xml:space="preserve">分，若投标人未提供售后服务方案则不得分。 </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 xml:space="preserve">在此基础上，由评审委员会进一步评审： </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 xml:space="preserve">（1）售后服务方案、承诺完善，响应及时、工作效 率高的，评审为优，得 </w:t>
            </w:r>
            <w:r>
              <w:rPr>
                <w:rFonts w:ascii="宋体" w:eastAsia="宋体" w:hAnsi="宋体" w:cs="宋体" w:hint="eastAsia"/>
                <w:sz w:val="24"/>
                <w:szCs w:val="24"/>
                <w:lang w:val="en-US" w:eastAsia="zh-CN"/>
              </w:rPr>
              <w:t>50</w:t>
            </w:r>
            <w:r>
              <w:rPr>
                <w:rFonts w:ascii="宋体" w:eastAsia="宋体" w:hAnsi="宋体" w:cs="宋体" w:hint="eastAsia"/>
                <w:sz w:val="24"/>
                <w:szCs w:val="24"/>
              </w:rPr>
              <w:t xml:space="preserve">分； </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（2）售后服务方案、承诺较完善，响应较及时、</w:t>
            </w:r>
            <w:r>
              <w:rPr>
                <w:rFonts w:ascii="宋体" w:eastAsia="宋体" w:hAnsi="宋体" w:cs="宋体" w:hint="eastAsia"/>
                <w:sz w:val="24"/>
                <w:szCs w:val="24"/>
                <w:lang w:eastAsia="zh-CN"/>
              </w:rPr>
              <w:t>工作效率</w:t>
            </w:r>
            <w:r>
              <w:rPr>
                <w:rFonts w:ascii="宋体" w:eastAsia="宋体" w:hAnsi="宋体" w:cs="宋体" w:hint="eastAsia"/>
                <w:sz w:val="24"/>
                <w:szCs w:val="24"/>
              </w:rPr>
              <w:t>较高的，评审为良，得</w:t>
            </w:r>
            <w:r>
              <w:rPr>
                <w:rFonts w:ascii="宋体" w:eastAsia="宋体" w:hAnsi="宋体" w:cs="宋体" w:hint="eastAsia"/>
                <w:sz w:val="24"/>
                <w:szCs w:val="24"/>
                <w:lang w:val="en-US" w:eastAsia="zh-CN"/>
              </w:rPr>
              <w:t>30</w:t>
            </w:r>
            <w:r>
              <w:rPr>
                <w:rFonts w:ascii="宋体" w:eastAsia="宋体" w:hAnsi="宋体" w:cs="宋体" w:hint="eastAsia"/>
                <w:sz w:val="24"/>
                <w:szCs w:val="24"/>
              </w:rPr>
              <w:t xml:space="preserve"> 分； </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（3）售后服务方案、承诺一般，响应一般、工作效 率一般，评审为中，得</w:t>
            </w:r>
            <w:r>
              <w:rPr>
                <w:rFonts w:ascii="宋体" w:eastAsia="宋体" w:hAnsi="宋体" w:cs="宋体" w:hint="eastAsia"/>
                <w:sz w:val="24"/>
                <w:szCs w:val="24"/>
                <w:lang w:val="en-US" w:eastAsia="zh-CN"/>
              </w:rPr>
              <w:t>10</w:t>
            </w:r>
            <w:r>
              <w:rPr>
                <w:rFonts w:ascii="宋体" w:eastAsia="宋体" w:hAnsi="宋体" w:cs="宋体" w:hint="eastAsia"/>
                <w:sz w:val="24"/>
                <w:szCs w:val="24"/>
              </w:rPr>
              <w:t xml:space="preserve">分； </w:t>
            </w:r>
          </w:p>
          <w:p>
            <w:pPr>
              <w:spacing w:line="240" w:lineRule="auto"/>
              <w:jc w:val="left"/>
              <w:rPr>
                <w:rFonts w:ascii="宋体" w:eastAsia="宋体" w:hAnsi="宋体" w:cs="宋体" w:hint="eastAsia"/>
                <w:sz w:val="24"/>
                <w:szCs w:val="24"/>
              </w:rPr>
            </w:pPr>
            <w:r>
              <w:rPr>
                <w:rFonts w:ascii="宋体" w:eastAsia="宋体" w:hAnsi="宋体" w:cs="宋体" w:hint="eastAsia"/>
                <w:sz w:val="24"/>
                <w:szCs w:val="24"/>
              </w:rPr>
              <w:t xml:space="preserve">（4）售后服务方案、承诺差，响应不及时效率低、 严重影响工作的，评审为差，不得分； </w:t>
            </w:r>
          </w:p>
          <w:p>
            <w:pPr>
              <w:spacing w:line="240" w:lineRule="auto"/>
              <w:jc w:val="left"/>
              <w:rPr>
                <w:rFonts w:ascii="宋体" w:eastAsia="宋体" w:hAnsi="宋体" w:cs="宋体" w:hint="eastAsia"/>
                <w:sz w:val="24"/>
                <w:szCs w:val="24"/>
                <w:lang w:val="en-US" w:eastAsia="zh-CN" w:bidi="ar-SA"/>
              </w:rPr>
            </w:pPr>
            <w:r>
              <w:rPr>
                <w:rFonts w:ascii="宋体" w:eastAsia="宋体" w:hAnsi="宋体" w:cs="宋体" w:hint="eastAsia"/>
                <w:sz w:val="24"/>
                <w:szCs w:val="24"/>
              </w:rPr>
              <w:t xml:space="preserve">以上累计最高得 </w:t>
            </w:r>
            <w:r>
              <w:rPr>
                <w:rFonts w:ascii="宋体" w:eastAsia="宋体" w:hAnsi="宋体" w:cs="宋体" w:hint="eastAsia"/>
                <w:sz w:val="24"/>
                <w:szCs w:val="24"/>
                <w:lang w:val="en-US" w:eastAsia="zh-CN"/>
              </w:rPr>
              <w:t>100</w:t>
            </w:r>
            <w:r>
              <w:rPr>
                <w:rFonts w:ascii="宋体" w:eastAsia="宋体" w:hAnsi="宋体" w:cs="宋体" w:hint="eastAsia"/>
                <w:sz w:val="24"/>
                <w:szCs w:val="24"/>
              </w:rPr>
              <w:t xml:space="preserve"> 分。</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tcPr>
          <w:p>
            <w:pPr>
              <w:spacing w:line="240" w:lineRule="auto"/>
              <w:rPr>
                <w:rFonts w:ascii="宋体" w:eastAsia="宋体" w:hAnsi="宋体" w:cs="宋体" w:hint="eastAsia"/>
                <w:sz w:val="24"/>
                <w:szCs w:val="24"/>
              </w:rPr>
            </w:pP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sz w:val="24"/>
                <w:szCs w:val="24"/>
                <w:lang w:eastAsia="zh-CN"/>
              </w:rPr>
            </w:pPr>
            <w:r>
              <w:rPr>
                <w:rFonts w:ascii="宋体" w:eastAsia="宋体" w:hAnsi="宋体" w:cs="宋体" w:hint="eastAsia"/>
                <w:sz w:val="24"/>
                <w:szCs w:val="24"/>
                <w:lang w:val="en-US" w:eastAsia="zh-CN"/>
              </w:rPr>
              <w:t>4</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color w:val="auto"/>
                <w:sz w:val="24"/>
                <w:szCs w:val="24"/>
              </w:rPr>
            </w:pPr>
            <w:r>
              <w:rPr>
                <w:rFonts w:ascii="宋体" w:eastAsia="宋体" w:hAnsi="宋体" w:cs="宋体" w:hint="eastAsia"/>
                <w:color w:val="auto"/>
                <w:sz w:val="24"/>
                <w:szCs w:val="24"/>
              </w:rPr>
              <w:t>现场演示情况</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color w:val="auto"/>
                <w:sz w:val="24"/>
                <w:szCs w:val="24"/>
              </w:rPr>
            </w:pPr>
            <w:r>
              <w:rPr>
                <w:rFonts w:ascii="宋体" w:eastAsia="宋体" w:hAnsi="宋体" w:cs="宋体" w:hint="eastAsia"/>
                <w:color w:val="auto"/>
                <w:sz w:val="24"/>
                <w:szCs w:val="24"/>
                <w:lang w:val="en-US" w:eastAsia="zh-CN"/>
              </w:rPr>
              <w:t>10</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after="0"/>
            </w:pPr>
            <w:r>
              <w:rPr>
                <w:rFonts w:eastAsia="宋体" w:hint="eastAsia"/>
              </w:rPr>
              <w:t>（一）评审内容：</w:t>
            </w:r>
          </w:p>
          <w:p>
            <w:pPr>
              <w:spacing w:after="0"/>
            </w:pPr>
            <w:r>
              <w:rPr>
                <w:rFonts w:eastAsia="宋体" w:hint="eastAsia"/>
              </w:rPr>
              <w:t>评审委员会根据</w:t>
            </w:r>
            <w:r>
              <w:t>“</w:t>
            </w:r>
            <w:r>
              <w:rPr>
                <w:rFonts w:eastAsia="宋体" w:hint="eastAsia"/>
              </w:rPr>
              <w:t>第三章六、现场演示要求</w:t>
            </w:r>
            <w:r>
              <w:t>”</w:t>
            </w:r>
            <w:r>
              <w:rPr>
                <w:rFonts w:eastAsia="宋体" w:hint="eastAsia"/>
              </w:rPr>
              <w:t>的内容进行打分，每满足</w:t>
            </w:r>
            <w:r>
              <w:rPr>
                <w:rFonts w:hint="eastAsia"/>
              </w:rPr>
              <w:t>1</w:t>
            </w:r>
            <w:r>
              <w:rPr>
                <w:rFonts w:eastAsia="宋体" w:hint="eastAsia"/>
              </w:rPr>
              <w:t>项要求得</w:t>
            </w:r>
            <w:r>
              <w:rPr>
                <w:rFonts w:hint="eastAsia"/>
              </w:rPr>
              <w:t>2</w:t>
            </w:r>
            <w:r>
              <w:t>5</w:t>
            </w:r>
            <w:r>
              <w:rPr>
                <w:rFonts w:eastAsia="宋体" w:hint="eastAsia"/>
              </w:rPr>
              <w:t>分，本项累计最高得</w:t>
            </w:r>
            <w:r>
              <w:rPr>
                <w:rFonts w:hint="eastAsia"/>
              </w:rPr>
              <w:t>100</w:t>
            </w:r>
            <w:r>
              <w:rPr>
                <w:rFonts w:eastAsia="宋体" w:hint="eastAsia"/>
              </w:rPr>
              <w:t>分，不提供不得分。</w:t>
            </w:r>
          </w:p>
          <w:p>
            <w:pPr>
              <w:pStyle w:val="F4"/>
              <w:spacing w:after="0"/>
              <w:jc w:val="both"/>
            </w:pPr>
            <w:r>
              <w:rPr>
                <w:rFonts w:hint="eastAsia"/>
              </w:rPr>
              <w:t>（二）评分依据：</w:t>
            </w:r>
          </w:p>
          <w:p>
            <w:pPr>
              <w:spacing w:line="240" w:lineRule="auto"/>
              <w:rPr>
                <w:rFonts w:ascii="宋体" w:eastAsia="宋体" w:hAnsi="宋体" w:cs="宋体" w:hint="eastAsia"/>
                <w:color w:val="auto"/>
                <w:sz w:val="24"/>
                <w:szCs w:val="24"/>
              </w:rPr>
            </w:pPr>
            <w:r>
              <w:rPr>
                <w:rFonts w:eastAsia="宋体" w:hint="eastAsia"/>
              </w:rPr>
              <w:t>投标人自备相关设备及仪器，按照演示签到顺序进行演示，不能用视频或</w:t>
            </w:r>
            <w:r>
              <w:rPr>
                <w:rFonts w:hint="eastAsia"/>
              </w:rPr>
              <w:t>D</w:t>
            </w:r>
            <w:r>
              <w:t>EMO</w:t>
            </w:r>
            <w:r>
              <w:rPr>
                <w:rFonts w:eastAsia="宋体" w:hint="eastAsia"/>
              </w:rPr>
              <w:t>演示，时间控制在</w:t>
            </w:r>
            <w:r>
              <w:rPr>
                <w:rFonts w:hint="eastAsia"/>
              </w:rPr>
              <w:t>1</w:t>
            </w:r>
            <w:r>
              <w:t>5</w:t>
            </w:r>
            <w:r>
              <w:rPr>
                <w:rFonts w:eastAsia="宋体" w:hint="eastAsia"/>
              </w:rPr>
              <w:t>分钟以内；未参加演示的投标人不得分，用视频或</w:t>
            </w:r>
            <w:r>
              <w:rPr>
                <w:rFonts w:hint="eastAsia"/>
              </w:rPr>
              <w:t>DEMO</w:t>
            </w:r>
            <w:r>
              <w:rPr>
                <w:rFonts w:eastAsia="宋体" w:hint="eastAsia"/>
              </w:rPr>
              <w:t>演示不得分。</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val="restart"/>
            <w:tcBorders>
              <w:top w:val="single" w:sz="8" w:space="0" w:color="000000"/>
              <w:left w:val="single" w:sz="8" w:space="0" w:color="000000"/>
              <w:bottom w:val="single" w:sz="8" w:space="0" w:color="auto"/>
              <w:right w:val="single" w:sz="8" w:space="0" w:color="000000"/>
            </w:tcBorders>
            <w:vAlign w:val="center"/>
          </w:tcPr>
          <w:p>
            <w:pPr>
              <w:wordWrap w:val="0"/>
              <w:spacing w:line="240" w:lineRule="auto"/>
              <w:jc w:val="center"/>
              <w:rPr>
                <w:rFonts w:ascii="宋体" w:eastAsia="宋体" w:hAnsi="宋体" w:cs="宋体" w:hint="eastAsia"/>
                <w:b/>
                <w:bCs/>
                <w:color w:val="0000FF"/>
                <w:sz w:val="24"/>
                <w:szCs w:val="24"/>
              </w:rPr>
            </w:pPr>
            <w:r>
              <w:rPr>
                <w:rFonts w:ascii="宋体" w:eastAsia="宋体" w:hAnsi="宋体" w:cs="宋体" w:hint="eastAsia"/>
                <w:b/>
                <w:bCs/>
                <w:color w:val="0000FF"/>
                <w:sz w:val="24"/>
                <w:szCs w:val="24"/>
              </w:rPr>
              <w:t>3</w:t>
            </w:r>
          </w:p>
        </w:tc>
        <w:tc>
          <w:tcPr>
            <w:tcW w:w="0" w:type="auto"/>
            <w:gridSpan w:val="3"/>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b/>
                <w:bCs/>
                <w:color w:val="0000FF"/>
                <w:sz w:val="24"/>
                <w:szCs w:val="24"/>
              </w:rPr>
            </w:pPr>
            <w:r>
              <w:rPr>
                <w:rFonts w:ascii="宋体" w:eastAsia="宋体" w:hAnsi="宋体" w:cs="宋体" w:hint="eastAsia"/>
                <w:b/>
                <w:bCs/>
                <w:color w:val="0000FF"/>
                <w:sz w:val="24"/>
                <w:szCs w:val="24"/>
              </w:rPr>
              <w:t>商务部分</w:t>
            </w: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b/>
                <w:bCs/>
                <w:color w:val="0000FF"/>
                <w:sz w:val="24"/>
                <w:szCs w:val="24"/>
                <w:lang w:eastAsia="zh-CN"/>
              </w:rPr>
            </w:pPr>
            <w:r>
              <w:rPr>
                <w:rFonts w:ascii="宋体" w:eastAsia="宋体" w:hAnsi="宋体" w:cs="宋体" w:hint="eastAsia"/>
                <w:b/>
                <w:bCs/>
                <w:color w:val="0000FF"/>
                <w:sz w:val="24"/>
                <w:szCs w:val="24"/>
              </w:rPr>
              <w:t>1</w:t>
            </w:r>
            <w:r>
              <w:rPr>
                <w:rFonts w:ascii="宋体" w:eastAsia="宋体" w:hAnsi="宋体" w:cs="宋体" w:hint="eastAsia"/>
                <w:b/>
                <w:bCs/>
                <w:color w:val="0000FF"/>
                <w:sz w:val="24"/>
                <w:szCs w:val="24"/>
                <w:lang w:val="en-US" w:eastAsia="zh-CN"/>
              </w:rPr>
              <w:t>5</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auto"/>
              <w:right w:val="single" w:sz="8" w:space="0" w:color="000000"/>
            </w:tcBorders>
            <w:vAlign w:val="center"/>
          </w:tcPr>
          <w:p>
            <w:pPr>
              <w:spacing w:line="240" w:lineRule="auto"/>
              <w:rPr>
                <w:rFonts w:ascii="宋体" w:eastAsia="宋体" w:hAnsi="宋体" w:cs="宋体" w:hint="eastAsia"/>
                <w:sz w:val="24"/>
                <w:szCs w:val="24"/>
              </w:rPr>
            </w:pPr>
          </w:p>
        </w:tc>
        <w:tc>
          <w:tcPr>
            <w:tcW w:w="0" w:type="auto"/>
            <w:gridSpan w:val="4"/>
            <w:tcBorders>
              <w:top w:val="single" w:sz="8" w:space="0" w:color="000000"/>
              <w:left w:val="single" w:sz="8" w:space="0" w:color="000000"/>
              <w:bottom w:val="single" w:sz="8" w:space="0" w:color="000000"/>
              <w:right w:val="single" w:sz="8" w:space="0" w:color="000000"/>
            </w:tcBorders>
          </w:tcPr>
          <w:p>
            <w:pPr>
              <w:widowControl w:val="0"/>
              <w:spacing w:line="240" w:lineRule="auto"/>
              <w:jc w:val="both"/>
              <w:rPr>
                <w:rFonts w:ascii="宋体" w:eastAsia="宋体" w:hAnsi="宋体" w:cs="宋体" w:hint="eastAsia"/>
                <w:sz w:val="24"/>
                <w:szCs w:val="24"/>
              </w:rPr>
            </w:pP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auto"/>
              <w:right w:val="single" w:sz="8" w:space="0" w:color="000000"/>
            </w:tcBorders>
            <w:shd w:val="clear" w:color="auto" w:fill="auto"/>
            <w:vAlign w:val="center"/>
          </w:tcPr>
          <w:p>
            <w:pPr>
              <w:spacing w:line="240" w:lineRule="auto"/>
              <w:rPr>
                <w:rFonts w:ascii="宋体" w:eastAsia="宋体" w:hAnsi="宋体" w:cs="宋体" w:hint="eastAsia"/>
                <w:sz w:val="24"/>
                <w:szCs w:val="24"/>
              </w:rPr>
            </w:pPr>
          </w:p>
        </w:tc>
        <w:tc>
          <w:tcPr>
            <w:tcW w:w="0" w:type="auto"/>
            <w:tcBorders>
              <w:top w:val="inset" w:sz="6" w:space="0" w:color="000000"/>
              <w:left w:val="inset" w:sz="6" w:space="0" w:color="000000"/>
              <w:bottom w:val="inset" w:sz="6" w:space="0" w:color="000000"/>
              <w:right w:val="inset" w:sz="6" w:space="0" w:color="000000"/>
            </w:tcBorders>
            <w:shd w:val="clear" w:color="auto" w:fill="E6EFFA"/>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序号</w:t>
            </w:r>
          </w:p>
        </w:tc>
        <w:tc>
          <w:tcPr>
            <w:tcW w:w="0" w:type="auto"/>
            <w:tcBorders>
              <w:top w:val="inset" w:sz="6" w:space="0" w:color="000000"/>
              <w:left w:val="inset" w:sz="6" w:space="0" w:color="000000"/>
              <w:bottom w:val="inset" w:sz="6" w:space="0" w:color="000000"/>
              <w:right w:val="inset" w:sz="6" w:space="0" w:color="000000"/>
            </w:tcBorders>
            <w:shd w:val="clear" w:color="auto" w:fill="E6EFFA"/>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评分因素</w:t>
            </w:r>
          </w:p>
        </w:tc>
        <w:tc>
          <w:tcPr>
            <w:tcW w:w="0" w:type="auto"/>
            <w:tcBorders>
              <w:top w:val="inset" w:sz="6" w:space="0" w:color="000000"/>
              <w:left w:val="inset" w:sz="6" w:space="0" w:color="000000"/>
              <w:bottom w:val="inset" w:sz="6" w:space="0" w:color="000000"/>
              <w:right w:val="inset" w:sz="6" w:space="0" w:color="000000"/>
            </w:tcBorders>
            <w:shd w:val="clear" w:color="auto" w:fill="E6EFFA"/>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权重</w:t>
            </w:r>
            <w:r>
              <w:rPr>
                <w:rFonts w:ascii="宋体" w:eastAsia="宋体" w:hAnsi="宋体" w:cs="宋体" w:hint="eastAsia"/>
                <w:sz w:val="24"/>
                <w:szCs w:val="24"/>
                <w:lang w:eastAsia="zh-CN"/>
              </w:rPr>
              <w:t>（</w:t>
            </w:r>
            <w:r>
              <w:rPr>
                <w:rFonts w:ascii="宋体" w:eastAsia="宋体" w:hAnsi="宋体" w:cs="宋体" w:hint="eastAsia"/>
                <w:sz w:val="24"/>
                <w:szCs w:val="24"/>
              </w:rPr>
              <w:t>%</w:t>
            </w:r>
            <w:r>
              <w:rPr>
                <w:rFonts w:ascii="宋体" w:eastAsia="宋体" w:hAnsi="宋体" w:cs="宋体" w:hint="eastAsia"/>
                <w:sz w:val="24"/>
                <w:szCs w:val="24"/>
                <w:lang w:eastAsia="zh-CN"/>
              </w:rPr>
              <w:t>）</w:t>
            </w:r>
          </w:p>
        </w:tc>
        <w:tc>
          <w:tcPr>
            <w:tcW w:w="0" w:type="auto"/>
            <w:tcBorders>
              <w:top w:val="inset" w:sz="6" w:space="0" w:color="000000"/>
              <w:left w:val="inset" w:sz="6" w:space="0" w:color="000000"/>
              <w:bottom w:val="inset" w:sz="6" w:space="0" w:color="000000"/>
              <w:right w:val="inset" w:sz="6" w:space="0" w:color="000000"/>
            </w:tcBorders>
            <w:shd w:val="clear" w:color="auto" w:fill="E6EFFA"/>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评分准则</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auto"/>
              <w:right w:val="single" w:sz="8" w:space="0" w:color="000000"/>
            </w:tcBorders>
            <w:vAlign w:val="center"/>
          </w:tcPr>
          <w:p>
            <w:pPr>
              <w:spacing w:line="240" w:lineRule="auto"/>
              <w:rPr>
                <w:rFonts w:ascii="宋体" w:eastAsia="宋体" w:hAnsi="宋体" w:cs="宋体" w:hint="eastAsia"/>
                <w:sz w:val="24"/>
                <w:szCs w:val="24"/>
              </w:rPr>
            </w:pP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textAlignment w:val="top"/>
              <w:rPr>
                <w:rFonts w:ascii="宋体" w:eastAsia="宋体" w:hAnsi="宋体" w:cs="宋体" w:hint="eastAsia"/>
                <w:sz w:val="24"/>
                <w:szCs w:val="24"/>
              </w:rPr>
            </w:pPr>
            <w:r>
              <w:rPr>
                <w:rFonts w:ascii="宋体" w:eastAsia="宋体" w:hAnsi="宋体" w:cs="宋体" w:hint="eastAsia"/>
                <w:sz w:val="24"/>
                <w:szCs w:val="24"/>
              </w:rPr>
              <w:t>1</w:t>
            </w: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投标人荣誉情况</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sz w:val="24"/>
                <w:szCs w:val="24"/>
              </w:rPr>
            </w:pPr>
            <w:r>
              <w:rPr>
                <w:rFonts w:ascii="宋体" w:eastAsia="宋体" w:hAnsi="宋体" w:cs="宋体" w:hint="eastAsia"/>
                <w:sz w:val="24"/>
                <w:szCs w:val="24"/>
                <w:lang w:val="en-US" w:eastAsia="zh-CN"/>
              </w:rPr>
              <w:t>3</w:t>
            </w:r>
          </w:p>
        </w:tc>
        <w:tc>
          <w:tcPr>
            <w:tcW w:w="0" w:type="auto"/>
            <w:tcBorders>
              <w:top w:val="single" w:sz="8" w:space="0" w:color="000000"/>
              <w:left w:val="single" w:sz="8" w:space="0" w:color="000000"/>
              <w:bottom w:val="single" w:sz="8" w:space="0" w:color="000000"/>
              <w:right w:val="single" w:sz="8" w:space="0" w:color="000000"/>
            </w:tcBorders>
            <w:vAlign w:val="top"/>
          </w:tcPr>
          <w:p>
            <w:pPr>
              <w:wordWrap w:val="0"/>
              <w:spacing w:line="240" w:lineRule="auto"/>
              <w:rPr>
                <w:rFonts w:ascii="宋体" w:eastAsia="宋体" w:hAnsi="宋体" w:cs="宋体" w:hint="eastAsia"/>
                <w:b/>
                <w:bCs/>
                <w:sz w:val="24"/>
                <w:szCs w:val="24"/>
              </w:rPr>
            </w:pPr>
            <w:r>
              <w:rPr>
                <w:rFonts w:ascii="宋体" w:eastAsia="宋体" w:hAnsi="宋体" w:cs="宋体" w:hint="eastAsia"/>
                <w:b/>
                <w:bCs/>
                <w:sz w:val="24"/>
                <w:szCs w:val="24"/>
              </w:rPr>
              <w:t>（一）评分内容：</w:t>
            </w:r>
          </w:p>
          <w:p>
            <w:pPr>
              <w:wordWrap w:val="0"/>
              <w:spacing w:line="240" w:lineRule="auto"/>
              <w:rPr>
                <w:rFonts w:ascii="宋体" w:eastAsia="宋体" w:hAnsi="宋体" w:cs="宋体" w:hint="eastAsia"/>
                <w:sz w:val="24"/>
                <w:szCs w:val="24"/>
              </w:rPr>
            </w:pPr>
            <w:r>
              <w:rPr>
                <w:rFonts w:ascii="宋体" w:eastAsia="宋体" w:hAnsi="宋体" w:cs="宋体" w:hint="eastAsia"/>
                <w:sz w:val="24"/>
                <w:szCs w:val="24"/>
              </w:rPr>
              <w:t>投标自2019年1月1日至本项目投标截止之日（以奖项颁发时间为准）获得过省级人民政府（或以上行政级别）颁发的科学技术进步奖（或科技进步奖）情况</w:t>
            </w:r>
            <w:r>
              <w:rPr>
                <w:rFonts w:ascii="宋体" w:eastAsia="宋体" w:hAnsi="宋体" w:cs="宋体" w:hint="eastAsia"/>
                <w:sz w:val="24"/>
                <w:szCs w:val="24"/>
                <w:lang w:eastAsia="zh-CN"/>
              </w:rPr>
              <w:t>，</w:t>
            </w:r>
            <w:r>
              <w:rPr>
                <w:rFonts w:ascii="宋体" w:eastAsia="宋体" w:hAnsi="宋体" w:cs="宋体" w:hint="eastAsia"/>
                <w:sz w:val="24"/>
                <w:szCs w:val="24"/>
              </w:rPr>
              <w:t>每获得一个，得20分，累计最高得分100分。</w:t>
            </w:r>
          </w:p>
          <w:p>
            <w:pPr>
              <w:wordWrap w:val="0"/>
              <w:spacing w:line="240" w:lineRule="auto"/>
              <w:rPr>
                <w:rFonts w:ascii="宋体" w:eastAsia="宋体" w:hAnsi="宋体" w:cs="宋体" w:hint="eastAsia"/>
                <w:b/>
                <w:bCs/>
                <w:sz w:val="24"/>
                <w:szCs w:val="24"/>
              </w:rPr>
            </w:pPr>
            <w:r>
              <w:rPr>
                <w:rFonts w:ascii="宋体" w:eastAsia="宋体" w:hAnsi="宋体" w:cs="宋体" w:hint="eastAsia"/>
                <w:b/>
                <w:bCs/>
                <w:sz w:val="24"/>
                <w:szCs w:val="24"/>
              </w:rPr>
              <w:t>（二）评分依据：</w:t>
            </w:r>
          </w:p>
          <w:p>
            <w:pPr>
              <w:wordWrap w:val="0"/>
              <w:spacing w:line="240" w:lineRule="auto"/>
              <w:rPr>
                <w:rFonts w:ascii="宋体" w:eastAsia="宋体" w:hAnsi="宋体" w:cs="宋体" w:hint="eastAsia"/>
                <w:sz w:val="24"/>
                <w:szCs w:val="24"/>
              </w:rPr>
            </w:pPr>
            <w:r>
              <w:rPr>
                <w:rFonts w:ascii="宋体" w:eastAsia="宋体" w:hAnsi="宋体" w:cs="宋体" w:hint="eastAsia"/>
                <w:sz w:val="24"/>
                <w:szCs w:val="24"/>
              </w:rPr>
              <w:t>1.要求提供奖项照片或获奖（荣誉）证书证明材料作为得分依据。如投标人为分支机构，提供其总公司获奖证书也可按照评分规则计分；获奖单位名称需与投标人名称或其总公司名称一致，否则不得分。</w:t>
            </w:r>
          </w:p>
          <w:p>
            <w:pPr>
              <w:wordWrap w:val="0"/>
              <w:spacing w:line="240" w:lineRule="auto"/>
              <w:rPr>
                <w:rFonts w:ascii="宋体" w:eastAsia="宋体" w:hAnsi="宋体" w:cs="宋体" w:hint="eastAsia"/>
                <w:sz w:val="24"/>
                <w:szCs w:val="24"/>
                <w:lang w:val="en-US" w:eastAsia="zh-CN" w:bidi="ar-SA"/>
              </w:rPr>
            </w:pPr>
            <w:r>
              <w:rPr>
                <w:rFonts w:ascii="宋体" w:eastAsia="宋体" w:hAnsi="宋体" w:cs="宋体" w:hint="eastAsia"/>
                <w:sz w:val="24"/>
                <w:szCs w:val="24"/>
              </w:rPr>
              <w:t>2.以上资料均要求提供扫描件（或官方网站截图）。评分中出现无证明资料或专家无法凭所提供资料判断是否得分的情况，一律作不得分处理。</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auto"/>
              <w:right w:val="single" w:sz="8" w:space="0" w:color="000000"/>
            </w:tcBorders>
            <w:vAlign w:val="center"/>
          </w:tcPr>
          <w:p>
            <w:pPr>
              <w:spacing w:line="240" w:lineRule="auto"/>
              <w:rPr>
                <w:rFonts w:ascii="宋体" w:eastAsia="宋体" w:hAnsi="宋体" w:cs="宋体" w:hint="eastAsia"/>
                <w:sz w:val="24"/>
                <w:szCs w:val="24"/>
              </w:rPr>
            </w:pP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2</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sz w:val="24"/>
                <w:szCs w:val="24"/>
              </w:rPr>
            </w:pPr>
            <w:r>
              <w:rPr>
                <w:rFonts w:ascii="宋体" w:eastAsia="宋体" w:hAnsi="宋体" w:cs="宋体" w:hint="eastAsia"/>
                <w:sz w:val="24"/>
                <w:szCs w:val="24"/>
              </w:rPr>
              <w:t>投标人自主知识产权产品（创新、设计）情况</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sz w:val="24"/>
                <w:szCs w:val="24"/>
              </w:rPr>
            </w:pPr>
            <w:r>
              <w:rPr>
                <w:rFonts w:ascii="宋体" w:eastAsia="宋体" w:hAnsi="宋体" w:cs="宋体" w:hint="eastAsia"/>
                <w:sz w:val="24"/>
                <w:szCs w:val="24"/>
                <w:lang w:val="en-US" w:eastAsia="zh-CN"/>
              </w:rPr>
              <w:t>4</w:t>
            </w:r>
          </w:p>
        </w:tc>
        <w:tc>
          <w:tcPr>
            <w:tcW w:w="0" w:type="auto"/>
            <w:tcBorders>
              <w:top w:val="single" w:sz="8" w:space="0" w:color="000000"/>
              <w:left w:val="single" w:sz="8" w:space="0" w:color="000000"/>
              <w:bottom w:val="single" w:sz="8" w:space="0" w:color="000000"/>
              <w:right w:val="single" w:sz="8" w:space="0" w:color="000000"/>
            </w:tcBorders>
            <w:vAlign w:val="center"/>
          </w:tcPr>
          <w:p>
            <w:pPr>
              <w:pStyle w:val="F4"/>
              <w:spacing w:line="240" w:lineRule="auto"/>
              <w:jc w:val="left"/>
              <w:rPr>
                <w:rFonts w:ascii="宋体" w:eastAsia="宋体" w:hAnsi="宋体" w:cs="宋体" w:hint="eastAsia"/>
                <w:b/>
                <w:bCs/>
                <w:sz w:val="24"/>
                <w:szCs w:val="24"/>
              </w:rPr>
            </w:pPr>
            <w:r>
              <w:rPr>
                <w:rFonts w:ascii="宋体" w:eastAsia="宋体" w:hAnsi="宋体" w:cs="宋体" w:hint="eastAsia"/>
                <w:b/>
                <w:bCs/>
                <w:sz w:val="24"/>
                <w:szCs w:val="24"/>
              </w:rPr>
              <w:t>（一）评分内容：</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1.投标人具有数据采集治理分析管理及应用平台相关计算机软件著作权登记证书或专利证书，得25分。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2.投标人具有网络数据安全管理系统相关计算机软件著作权登记证书或专利证书，得25分。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3.投标人具有重大突发事件应急调度处置分析系统相关计算机软件著作权登记证书或专利证书，得25分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4.投标人具有智能运维平台相关计算机软件著作权登记证书或专利证书，得25分</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以上4项可累计得分，最高得100分。</w:t>
            </w:r>
          </w:p>
          <w:p>
            <w:pPr>
              <w:pStyle w:val="F4"/>
              <w:spacing w:line="240" w:lineRule="auto"/>
              <w:jc w:val="left"/>
              <w:rPr>
                <w:rFonts w:ascii="宋体" w:eastAsia="宋体" w:hAnsi="宋体" w:cs="宋体" w:hint="eastAsia"/>
                <w:b/>
                <w:bCs/>
                <w:sz w:val="24"/>
                <w:szCs w:val="24"/>
              </w:rPr>
            </w:pPr>
            <w:r>
              <w:rPr>
                <w:rFonts w:ascii="宋体" w:eastAsia="宋体" w:hAnsi="宋体" w:cs="宋体" w:hint="eastAsia"/>
                <w:b/>
                <w:bCs/>
                <w:sz w:val="24"/>
                <w:szCs w:val="24"/>
              </w:rPr>
              <w:t>（二）评分依据：</w:t>
            </w:r>
          </w:p>
          <w:p>
            <w:pPr>
              <w:spacing w:line="240" w:lineRule="auto"/>
              <w:rPr>
                <w:rFonts w:ascii="宋体" w:eastAsia="宋体" w:hAnsi="宋体" w:cs="宋体" w:hint="eastAsia"/>
                <w:sz w:val="24"/>
                <w:szCs w:val="24"/>
                <w:lang w:val="en-US" w:eastAsia="zh-CN" w:bidi="ar-SA"/>
              </w:rPr>
            </w:pPr>
            <w:r>
              <w:rPr>
                <w:rFonts w:ascii="宋体" w:eastAsia="宋体" w:hAnsi="宋体" w:cs="宋体" w:hint="eastAsia"/>
                <w:sz w:val="24"/>
                <w:szCs w:val="24"/>
              </w:rPr>
              <w:t>要求提供有效的产权（专利、计算机软件著作权）证书扫描件等证明材料作为得分依据，原件备查；如投标人为分支机构，提供其总公司获奖证书也可按照评分规则计分；获奖单位名称需与投标人名称或其总公司名称一致，否则不得分。</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000000"/>
              <w:left w:val="single" w:sz="8" w:space="0" w:color="000000"/>
              <w:bottom w:val="single" w:sz="8" w:space="0" w:color="auto"/>
              <w:right w:val="single" w:sz="8" w:space="0" w:color="000000"/>
            </w:tcBorders>
            <w:vAlign w:val="center"/>
          </w:tcPr>
          <w:p>
            <w:pPr>
              <w:spacing w:line="240" w:lineRule="auto"/>
              <w:rPr>
                <w:rFonts w:ascii="宋体" w:eastAsia="宋体" w:hAnsi="宋体" w:cs="宋体" w:hint="eastAsia"/>
                <w:sz w:val="24"/>
                <w:szCs w:val="24"/>
              </w:rPr>
            </w:pP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lang w:val="en-US" w:eastAsia="zh-CN"/>
              </w:rPr>
              <w:t>3</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sz w:val="24"/>
                <w:szCs w:val="24"/>
              </w:rPr>
            </w:pPr>
            <w:r>
              <w:rPr>
                <w:rFonts w:ascii="宋体" w:eastAsia="宋体" w:hAnsi="宋体" w:cs="宋体" w:hint="eastAsia"/>
                <w:sz w:val="24"/>
                <w:szCs w:val="24"/>
              </w:rPr>
              <w:t>质量及安全保障能力</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jc w:val="center"/>
              <w:rPr>
                <w:rFonts w:ascii="宋体" w:eastAsia="宋体" w:hAnsi="宋体" w:cs="宋体" w:hint="eastAsia"/>
                <w:sz w:val="24"/>
                <w:szCs w:val="24"/>
              </w:rPr>
            </w:pPr>
            <w:r>
              <w:rPr>
                <w:rFonts w:ascii="宋体" w:eastAsia="宋体" w:hAnsi="宋体" w:cs="宋体" w:hint="eastAsia"/>
                <w:color w:val="auto"/>
                <w:sz w:val="24"/>
                <w:szCs w:val="24"/>
                <w:lang w:val="en-US" w:eastAsia="zh-CN"/>
              </w:rPr>
              <w:t>8</w:t>
            </w:r>
          </w:p>
        </w:tc>
        <w:tc>
          <w:tcPr>
            <w:tcW w:w="0" w:type="auto"/>
            <w:tcBorders>
              <w:top w:val="single" w:sz="8" w:space="0" w:color="000000"/>
              <w:left w:val="single" w:sz="8" w:space="0" w:color="000000"/>
              <w:bottom w:val="single" w:sz="8" w:space="0" w:color="000000"/>
              <w:right w:val="single" w:sz="8" w:space="0" w:color="000000"/>
            </w:tcBorders>
            <w:vAlign w:val="center"/>
          </w:tcPr>
          <w:p>
            <w:pPr>
              <w:spacing w:line="240" w:lineRule="auto"/>
              <w:rPr>
                <w:rFonts w:ascii="宋体" w:eastAsia="宋体" w:hAnsi="宋体" w:cs="宋体" w:hint="eastAsia"/>
                <w:sz w:val="24"/>
                <w:szCs w:val="24"/>
              </w:rPr>
            </w:pPr>
            <w:r>
              <w:rPr>
                <w:rFonts w:ascii="宋体" w:eastAsia="宋体" w:hAnsi="宋体" w:cs="宋体" w:hint="eastAsia"/>
                <w:b/>
                <w:sz w:val="24"/>
                <w:szCs w:val="24"/>
              </w:rPr>
              <w:t>（一）评审内容</w:t>
            </w:r>
            <w:r>
              <w:rPr>
                <w:rFonts w:ascii="宋体" w:eastAsia="宋体" w:hAnsi="宋体" w:cs="宋体" w:hint="eastAsia"/>
                <w:sz w:val="24"/>
                <w:szCs w:val="24"/>
              </w:rPr>
              <w:t>：</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投标人具有以下质量及安全保障能力资质：</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1.投标人具有ISO9001质量管理体系认证证书；</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2.投标人具有ITSS信息技术服务标准符合性证书（业务领域：运行维护服务 评估等级：二级及以上）；</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3.</w:t>
            </w:r>
            <w:r>
              <w:rPr>
                <w:rFonts w:ascii="宋体" w:eastAsia="宋体" w:hAnsi="宋体" w:cs="宋体" w:hint="eastAsia"/>
                <w:sz w:val="24"/>
                <w:szCs w:val="24"/>
                <w:lang w:eastAsia="zh-CN"/>
              </w:rPr>
              <w:t>投标人具有</w:t>
            </w:r>
            <w:r>
              <w:rPr>
                <w:rFonts w:ascii="宋体" w:eastAsia="宋体" w:hAnsi="宋体" w:cs="宋体" w:hint="eastAsia"/>
                <w:sz w:val="24"/>
                <w:szCs w:val="24"/>
              </w:rPr>
              <w:t>软件能力成熟度等级证书（SJ/T11235）4级及以上证书；</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4.</w:t>
            </w:r>
            <w:r>
              <w:rPr>
                <w:rFonts w:ascii="宋体" w:eastAsia="宋体" w:hAnsi="宋体" w:cs="宋体" w:hint="eastAsia"/>
                <w:sz w:val="24"/>
                <w:szCs w:val="24"/>
                <w:lang w:eastAsia="zh-CN"/>
              </w:rPr>
              <w:t>投标人具有</w:t>
            </w:r>
            <w:r>
              <w:rPr>
                <w:rFonts w:ascii="宋体" w:eastAsia="宋体" w:hAnsi="宋体" w:cs="宋体" w:hint="eastAsia"/>
                <w:sz w:val="24"/>
                <w:szCs w:val="24"/>
              </w:rPr>
              <w:t>云安全管理体系认证证书（CSA STAR认证）；</w:t>
            </w:r>
          </w:p>
          <w:p>
            <w:pPr>
              <w:pStyle w:val="F4"/>
              <w:spacing w:line="240" w:lineRule="auto"/>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以上4项每满足一项得25分，本项累计最高得100分。</w:t>
            </w:r>
          </w:p>
          <w:p>
            <w:pPr>
              <w:pStyle w:val="F4"/>
              <w:spacing w:line="240" w:lineRule="auto"/>
              <w:jc w:val="left"/>
              <w:rPr>
                <w:rFonts w:ascii="宋体" w:eastAsia="宋体" w:hAnsi="宋体" w:cs="宋体" w:hint="eastAsia"/>
                <w:b/>
                <w:bCs/>
                <w:sz w:val="24"/>
                <w:szCs w:val="24"/>
              </w:rPr>
            </w:pPr>
            <w:r>
              <w:rPr>
                <w:rFonts w:ascii="宋体" w:eastAsia="宋体" w:hAnsi="宋体" w:cs="宋体" w:hint="eastAsia"/>
                <w:b/>
                <w:bCs/>
                <w:sz w:val="24"/>
                <w:szCs w:val="24"/>
              </w:rPr>
              <w:t>（二）评分依据：</w:t>
            </w:r>
          </w:p>
          <w:p>
            <w:pPr>
              <w:pStyle w:val="F4"/>
              <w:spacing w:line="240" w:lineRule="auto"/>
              <w:jc w:val="left"/>
              <w:rPr>
                <w:rFonts w:ascii="宋体" w:eastAsia="宋体" w:hAnsi="宋体" w:cs="宋体" w:hint="eastAsia"/>
                <w:sz w:val="24"/>
                <w:szCs w:val="24"/>
              </w:rPr>
            </w:pPr>
            <w:r>
              <w:rPr>
                <w:rFonts w:ascii="宋体" w:eastAsia="宋体" w:hAnsi="宋体" w:cs="宋体" w:hint="eastAsia"/>
                <w:sz w:val="24"/>
                <w:szCs w:val="24"/>
              </w:rPr>
              <w:t>1.要求提供有效的证书扫描件，如投标人为分支机构，可提供其总公司的证书；证书单位名称需与投标人名称或其总公司名称一致，否则不得分。</w:t>
            </w:r>
          </w:p>
          <w:p>
            <w:pPr>
              <w:spacing w:line="240" w:lineRule="auto"/>
              <w:rPr>
                <w:rFonts w:ascii="宋体" w:eastAsia="宋体" w:hAnsi="宋体" w:cs="宋体" w:hint="eastAsia"/>
                <w:sz w:val="24"/>
                <w:szCs w:val="24"/>
                <w:lang w:val="en-US" w:eastAsia="zh-CN"/>
              </w:rPr>
            </w:pPr>
            <w:r>
              <w:rPr>
                <w:rFonts w:ascii="宋体" w:eastAsia="宋体" w:hAnsi="宋体" w:cs="宋体" w:hint="eastAsia"/>
                <w:sz w:val="24"/>
                <w:szCs w:val="24"/>
              </w:rPr>
              <w:t>2.以上资料均要求提供扫描件（或官方网站截图）。评分中出现无证明资料或专家无法凭所提供资料判断是否得分的情况，一律作不得分处理。</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val="restart"/>
            <w:tcBorders>
              <w:top w:val="single" w:sz="8" w:space="0" w:color="auto"/>
              <w:left w:val="single" w:sz="8" w:space="0" w:color="000000"/>
              <w:bottom w:val="single" w:sz="8" w:space="0" w:color="000000"/>
              <w:right w:val="single" w:sz="8" w:space="0" w:color="000000"/>
            </w:tcBorders>
            <w:vAlign w:val="center"/>
          </w:tcPr>
          <w:p>
            <w:pPr>
              <w:widowControl w:val="0"/>
              <w:spacing w:line="240" w:lineRule="auto"/>
              <w:jc w:val="center"/>
              <w:rPr>
                <w:rFonts w:ascii="宋体" w:eastAsia="宋体" w:hAnsi="宋体" w:cs="宋体" w:hint="eastAsia"/>
                <w:b/>
                <w:bCs/>
                <w:color w:val="0000FF"/>
                <w:sz w:val="24"/>
                <w:szCs w:val="24"/>
              </w:rPr>
            </w:pPr>
            <w:r>
              <w:rPr>
                <w:rFonts w:ascii="宋体" w:eastAsia="宋体" w:hAnsi="宋体" w:cs="宋体" w:hint="eastAsia"/>
                <w:b/>
                <w:bCs/>
                <w:color w:val="0000FF"/>
                <w:sz w:val="24"/>
                <w:szCs w:val="24"/>
              </w:rPr>
              <w:t>4</w:t>
            </w:r>
          </w:p>
        </w:tc>
        <w:tc>
          <w:tcPr>
            <w:tcW w:w="0" w:type="auto"/>
            <w:gridSpan w:val="2"/>
            <w:tcBorders>
              <w:top w:val="single" w:sz="8" w:space="0" w:color="000000"/>
              <w:left w:val="single" w:sz="8" w:space="0" w:color="000000"/>
              <w:bottom w:val="single" w:sz="8" w:space="0" w:color="000000"/>
              <w:right w:val="single" w:sz="8" w:space="0" w:color="000000"/>
            </w:tcBorders>
          </w:tcPr>
          <w:p>
            <w:pPr>
              <w:wordWrap w:val="0"/>
              <w:spacing w:line="240" w:lineRule="auto"/>
              <w:jc w:val="center"/>
              <w:rPr>
                <w:rFonts w:ascii="宋体" w:eastAsia="宋体" w:hAnsi="宋体" w:cs="宋体" w:hint="eastAsia"/>
                <w:b/>
                <w:bCs/>
                <w:color w:val="0000FF"/>
                <w:sz w:val="24"/>
                <w:szCs w:val="24"/>
              </w:rPr>
            </w:pPr>
            <w:r>
              <w:rPr>
                <w:rFonts w:ascii="宋体" w:eastAsia="宋体" w:hAnsi="宋体" w:cs="宋体" w:hint="eastAsia"/>
                <w:b/>
                <w:bCs/>
                <w:color w:val="0000FF"/>
                <w:sz w:val="24"/>
                <w:szCs w:val="24"/>
              </w:rPr>
              <w:t>诚信情况</w:t>
            </w:r>
          </w:p>
        </w:tc>
        <w:tc>
          <w:tcPr>
            <w:tcW w:w="0" w:type="auto"/>
            <w:gridSpan w:val="2"/>
            <w:tcBorders>
              <w:top w:val="single" w:sz="8" w:space="0" w:color="000000"/>
              <w:left w:val="single" w:sz="8" w:space="0" w:color="000000"/>
              <w:bottom w:val="single" w:sz="8" w:space="0" w:color="000000"/>
              <w:right w:val="single" w:sz="8" w:space="0" w:color="000000"/>
            </w:tcBorders>
          </w:tcPr>
          <w:p>
            <w:pPr>
              <w:wordWrap w:val="0"/>
              <w:spacing w:line="240" w:lineRule="auto"/>
              <w:jc w:val="center"/>
              <w:rPr>
                <w:rFonts w:ascii="宋体" w:eastAsia="宋体" w:hAnsi="宋体" w:cs="宋体" w:hint="eastAsia"/>
                <w:b/>
                <w:bCs/>
                <w:color w:val="0000FF"/>
                <w:sz w:val="24"/>
                <w:szCs w:val="24"/>
              </w:rPr>
            </w:pPr>
            <w:r>
              <w:rPr>
                <w:rFonts w:ascii="宋体" w:eastAsia="宋体" w:hAnsi="宋体" w:cs="宋体" w:hint="eastAsia"/>
                <w:b/>
                <w:bCs/>
                <w:color w:val="0000FF"/>
                <w:sz w:val="24"/>
                <w:szCs w:val="24"/>
              </w:rPr>
              <w:t>5</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auto"/>
              <w:left w:val="single" w:sz="8" w:space="0" w:color="000000"/>
              <w:bottom w:val="single" w:sz="8" w:space="0" w:color="000000"/>
              <w:right w:val="single" w:sz="8" w:space="0" w:color="000000"/>
            </w:tcBorders>
            <w:shd w:val="clear" w:color="auto" w:fill="auto"/>
            <w:vAlign w:val="center"/>
          </w:tcPr>
          <w:p>
            <w:pPr>
              <w:spacing w:line="240" w:lineRule="auto"/>
              <w:rPr>
                <w:rFonts w:ascii="宋体" w:eastAsia="宋体" w:hAnsi="宋体" w:cs="宋体" w:hint="eastAsia"/>
                <w:sz w:val="24"/>
                <w:szCs w:val="24"/>
              </w:rPr>
            </w:pPr>
          </w:p>
        </w:tc>
        <w:tc>
          <w:tcPr>
            <w:tcW w:w="0" w:type="auto"/>
            <w:tcBorders>
              <w:top w:val="single" w:sz="8" w:space="0" w:color="000000"/>
              <w:left w:val="single" w:sz="8" w:space="0" w:color="000000"/>
              <w:bottom w:val="single" w:sz="8" w:space="0" w:color="000000"/>
              <w:right w:val="single" w:sz="8" w:space="0" w:color="000000"/>
            </w:tcBorders>
            <w:shd w:val="clear" w:color="auto" w:fill="DEEAF6"/>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DEEAF6"/>
            <w:vAlign w:val="center"/>
          </w:tcPr>
          <w:p>
            <w:pPr>
              <w:wordWrap w:val="0"/>
              <w:spacing w:line="240" w:lineRule="auto"/>
              <w:rPr>
                <w:rFonts w:ascii="宋体" w:eastAsia="宋体" w:hAnsi="宋体" w:cs="宋体" w:hint="eastAsia"/>
                <w:sz w:val="24"/>
                <w:szCs w:val="24"/>
              </w:rPr>
            </w:pPr>
            <w:r>
              <w:rPr>
                <w:rFonts w:ascii="宋体" w:eastAsia="宋体" w:hAnsi="宋体" w:cs="宋体" w:hint="eastAsia"/>
                <w:sz w:val="24"/>
                <w:szCs w:val="24"/>
              </w:rPr>
              <w:t>评分因素</w:t>
            </w:r>
          </w:p>
        </w:tc>
        <w:tc>
          <w:tcPr>
            <w:tcW w:w="0" w:type="auto"/>
            <w:tcBorders>
              <w:top w:val="single" w:sz="8" w:space="0" w:color="000000"/>
              <w:left w:val="single" w:sz="8" w:space="0" w:color="000000"/>
              <w:bottom w:val="single" w:sz="8" w:space="0" w:color="000000"/>
              <w:right w:val="single" w:sz="8" w:space="0" w:color="000000"/>
            </w:tcBorders>
            <w:shd w:val="clear" w:color="auto" w:fill="DEEAF6"/>
            <w:vAlign w:val="center"/>
          </w:tcPr>
          <w:p>
            <w:pPr>
              <w:wordWrap w:val="0"/>
              <w:spacing w:line="240" w:lineRule="auto"/>
              <w:jc w:val="center"/>
              <w:rPr>
                <w:rFonts w:ascii="宋体" w:eastAsia="宋体" w:hAnsi="宋体" w:cs="宋体" w:hint="eastAsia"/>
                <w:sz w:val="24"/>
                <w:szCs w:val="24"/>
              </w:rPr>
            </w:pPr>
            <w:r>
              <w:rPr>
                <w:rFonts w:ascii="宋体" w:eastAsia="宋体" w:hAnsi="宋体" w:cs="宋体" w:hint="eastAsia"/>
                <w:sz w:val="24"/>
                <w:szCs w:val="24"/>
              </w:rPr>
              <w:t>权重</w:t>
            </w:r>
            <w:r>
              <w:rPr>
                <w:rFonts w:ascii="宋体" w:eastAsia="宋体" w:hAnsi="宋体" w:cs="宋体" w:hint="eastAsia"/>
                <w:sz w:val="24"/>
                <w:szCs w:val="24"/>
                <w:lang w:eastAsia="zh-CN"/>
              </w:rPr>
              <w:t>（</w:t>
            </w:r>
            <w:r>
              <w:rPr>
                <w:rFonts w:ascii="宋体" w:eastAsia="宋体" w:hAnsi="宋体" w:cs="宋体" w:hint="eastAsia"/>
                <w:sz w:val="24"/>
                <w:szCs w:val="24"/>
              </w:rPr>
              <w:t>%</w:t>
            </w:r>
            <w:r>
              <w:rPr>
                <w:rFonts w:ascii="宋体" w:eastAsia="宋体" w:hAnsi="宋体" w:cs="宋体" w:hint="eastAsia"/>
                <w:sz w:val="24"/>
                <w:szCs w:val="24"/>
                <w:lang w:eastAsia="zh-CN"/>
              </w:rPr>
              <w:t>）</w:t>
            </w:r>
          </w:p>
        </w:tc>
        <w:tc>
          <w:tcPr>
            <w:tcW w:w="0" w:type="auto"/>
            <w:tcBorders>
              <w:top w:val="single" w:sz="8" w:space="0" w:color="000000"/>
              <w:left w:val="single" w:sz="8" w:space="0" w:color="000000"/>
              <w:bottom w:val="single" w:sz="8" w:space="0" w:color="000000"/>
              <w:right w:val="single" w:sz="8" w:space="0" w:color="000000"/>
            </w:tcBorders>
            <w:shd w:val="clear" w:color="auto" w:fill="DEEAF6"/>
            <w:vAlign w:val="center"/>
          </w:tcPr>
          <w:p>
            <w:pPr>
              <w:wordWrap w:val="0"/>
              <w:spacing w:line="240" w:lineRule="auto"/>
              <w:rPr>
                <w:rFonts w:ascii="宋体" w:eastAsia="宋体" w:hAnsi="宋体" w:cs="宋体" w:hint="eastAsia"/>
                <w:sz w:val="24"/>
                <w:szCs w:val="24"/>
              </w:rPr>
            </w:pPr>
            <w:r>
              <w:rPr>
                <w:rFonts w:ascii="宋体" w:eastAsia="宋体" w:hAnsi="宋体" w:cs="宋体" w:hint="eastAsia"/>
                <w:sz w:val="24"/>
                <w:szCs w:val="24"/>
              </w:rPr>
              <w:t>评分准则</w:t>
            </w:r>
          </w:p>
        </w:tc>
      </w:tr>
      <w:tr>
        <w:tblPrEx>
          <w:tblW w:w="0" w:type="auto"/>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blCellSpacing w:w="0" w:type="dxa"/>
          <w:jc w:val="center"/>
        </w:trPr>
        <w:tc>
          <w:tcPr>
            <w:tcW w:w="0" w:type="auto"/>
            <w:vMerge/>
            <w:tcBorders>
              <w:top w:val="single" w:sz="8" w:space="0" w:color="auto"/>
              <w:left w:val="single" w:sz="8" w:space="0" w:color="000000"/>
              <w:bottom w:val="single" w:sz="8" w:space="0" w:color="000000"/>
              <w:right w:val="single" w:sz="8" w:space="0" w:color="000000"/>
            </w:tcBorders>
            <w:vAlign w:val="center"/>
          </w:tcPr>
          <w:p>
            <w:pPr>
              <w:spacing w:line="240" w:lineRule="auto"/>
              <w:rPr>
                <w:rFonts w:ascii="宋体" w:eastAsia="宋体" w:hAnsi="宋体" w:cs="宋体" w:hint="eastAsia"/>
                <w:sz w:val="24"/>
                <w:szCs w:val="24"/>
              </w:rPr>
            </w:pP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textAlignment w:val="top"/>
              <w:rPr>
                <w:rFonts w:ascii="宋体" w:eastAsia="宋体" w:hAnsi="宋体" w:cs="宋体" w:hint="eastAsia"/>
                <w:sz w:val="24"/>
                <w:szCs w:val="24"/>
              </w:rPr>
            </w:pPr>
            <w:r>
              <w:rPr>
                <w:rFonts w:ascii="宋体" w:eastAsia="宋体" w:hAnsi="宋体" w:cs="宋体" w:hint="eastAsia"/>
                <w:sz w:val="24"/>
                <w:szCs w:val="24"/>
              </w:rPr>
              <w:t>1</w:t>
            </w: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textAlignment w:val="top"/>
              <w:rPr>
                <w:rFonts w:ascii="宋体" w:eastAsia="宋体" w:hAnsi="宋体" w:cs="宋体" w:hint="eastAsia"/>
                <w:sz w:val="24"/>
                <w:szCs w:val="24"/>
              </w:rPr>
            </w:pPr>
            <w:r>
              <w:rPr>
                <w:rFonts w:ascii="宋体" w:eastAsia="宋体" w:hAnsi="宋体" w:cs="宋体" w:hint="eastAsia"/>
                <w:sz w:val="24"/>
                <w:szCs w:val="24"/>
              </w:rPr>
              <w:t>诚信情况</w:t>
            </w:r>
          </w:p>
        </w:tc>
        <w:tc>
          <w:tcPr>
            <w:tcW w:w="0" w:type="auto"/>
            <w:tcBorders>
              <w:top w:val="single" w:sz="8" w:space="0" w:color="000000"/>
              <w:left w:val="single" w:sz="8" w:space="0" w:color="000000"/>
              <w:bottom w:val="single" w:sz="8" w:space="0" w:color="000000"/>
              <w:right w:val="single" w:sz="8" w:space="0" w:color="000000"/>
            </w:tcBorders>
            <w:vAlign w:val="center"/>
          </w:tcPr>
          <w:p>
            <w:pPr>
              <w:wordWrap w:val="0"/>
              <w:spacing w:line="240" w:lineRule="auto"/>
              <w:jc w:val="center"/>
              <w:textAlignment w:val="top"/>
              <w:rPr>
                <w:rFonts w:ascii="宋体" w:eastAsia="宋体" w:hAnsi="宋体" w:cs="宋体" w:hint="eastAsia"/>
                <w:sz w:val="24"/>
                <w:szCs w:val="24"/>
              </w:rPr>
            </w:pPr>
            <w:r>
              <w:rPr>
                <w:rFonts w:ascii="宋体" w:eastAsia="宋体" w:hAnsi="宋体" w:cs="宋体" w:hint="eastAsia"/>
                <w:sz w:val="24"/>
                <w:szCs w:val="24"/>
              </w:rPr>
              <w:t>5</w:t>
            </w:r>
          </w:p>
        </w:tc>
        <w:tc>
          <w:tcPr>
            <w:tcW w:w="0" w:type="auto"/>
            <w:tcBorders>
              <w:top w:val="single" w:sz="8" w:space="0" w:color="000000"/>
              <w:left w:val="single" w:sz="8" w:space="0" w:color="000000"/>
              <w:bottom w:val="single" w:sz="8" w:space="0" w:color="000000"/>
              <w:right w:val="single" w:sz="8" w:space="0" w:color="000000"/>
            </w:tcBorders>
          </w:tcPr>
          <w:p>
            <w:pPr>
              <w:wordWrap w:val="0"/>
              <w:spacing w:line="240" w:lineRule="auto"/>
              <w:textAlignment w:val="top"/>
              <w:rPr>
                <w:rFonts w:ascii="宋体" w:eastAsia="宋体" w:hAnsi="宋体" w:cs="宋体" w:hint="eastAsia"/>
                <w:sz w:val="24"/>
                <w:szCs w:val="24"/>
              </w:rPr>
            </w:pPr>
            <w:r>
              <w:rPr>
                <w:rFonts w:ascii="宋体" w:eastAsia="宋体" w:hAnsi="宋体" w:cs="宋体" w:hint="eastAsia"/>
                <w:sz w:val="24"/>
                <w:szCs w:val="24"/>
              </w:rPr>
              <w:t>投标人在参与政府采购活动中存在诚信相关问题且在主管部门相关处理措施实施期限内的，本项不得分，否则得满分。投标人无需提供任何证明材料，由工作人员向评审委员会提供相关信息。</w:t>
            </w:r>
          </w:p>
        </w:tc>
      </w:tr>
    </w:tbl>
    <w:p>
      <w:bookmarkEnd w:id="0"/>
    </w:p>
    <w:p/>
    <w:p>
      <w:pPr>
        <w:rPr>
          <w:b/>
          <w:sz w:val="84"/>
          <w:szCs w:val="84"/>
        </w:rPr>
      </w:pPr>
      <w:r>
        <w:rPr>
          <w:b/>
          <w:sz w:val="84"/>
          <w:szCs w:val="84"/>
        </w:rPr>
        <w:br w:type="page"/>
      </w:r>
    </w:p>
    <w:p>
      <w:pPr>
        <w:jc w:val="center"/>
        <w:rPr>
          <w:b/>
          <w:sz w:val="84"/>
          <w:szCs w:val="84"/>
        </w:rPr>
      </w:pPr>
    </w:p>
    <w:p>
      <w:pPr>
        <w:jc w:val="center"/>
        <w:rPr>
          <w:b/>
          <w:sz w:val="84"/>
          <w:szCs w:val="84"/>
        </w:rPr>
      </w:pPr>
    </w:p>
    <w:p>
      <w:pPr>
        <w:jc w:val="center"/>
        <w:rPr>
          <w:b/>
          <w:sz w:val="84"/>
          <w:szCs w:val="84"/>
        </w:rPr>
      </w:pPr>
    </w:p>
    <w:p>
      <w:pPr>
        <w:jc w:val="center"/>
        <w:rPr>
          <w:b/>
          <w:sz w:val="120"/>
          <w:szCs w:val="120"/>
        </w:rPr>
      </w:pPr>
      <w:r>
        <w:rPr>
          <w:rFonts w:hint="eastAsia"/>
          <w:b/>
          <w:sz w:val="120"/>
          <w:szCs w:val="120"/>
        </w:rPr>
        <w:t>政府采购</w:t>
      </w:r>
    </w:p>
    <w:p>
      <w:pPr>
        <w:jc w:val="center"/>
        <w:rPr>
          <w:b/>
          <w:sz w:val="120"/>
          <w:szCs w:val="120"/>
        </w:rPr>
      </w:pPr>
      <w:r>
        <w:rPr>
          <w:rFonts w:hint="eastAsia"/>
          <w:b/>
          <w:sz w:val="120"/>
          <w:szCs w:val="120"/>
        </w:rPr>
        <w:t>招标文件</w:t>
      </w:r>
    </w:p>
    <w:p>
      <w:pPr>
        <w:jc w:val="center"/>
        <w:rPr>
          <w:b/>
          <w:sz w:val="120"/>
          <w:szCs w:val="120"/>
        </w:rPr>
      </w:pPr>
    </w:p>
    <w:p>
      <w:pPr>
        <w:jc w:val="center"/>
        <w:rPr>
          <w:b/>
          <w:sz w:val="52"/>
          <w:szCs w:val="52"/>
        </w:rPr>
      </w:pPr>
      <w:r>
        <w:rPr>
          <w:rFonts w:hint="eastAsia"/>
          <w:b/>
          <w:sz w:val="52"/>
          <w:szCs w:val="52"/>
        </w:rPr>
        <w:t>（货物类）</w:t>
      </w:r>
    </w:p>
    <w:p/>
    <w:p/>
    <w:p/>
    <w:p/>
    <w:p/>
    <w:p/>
    <w:p>
      <w:pPr>
        <w:pStyle w:val="BodyText"/>
      </w:pPr>
    </w:p>
    <w:p/>
    <w:p/>
    <w:p/>
    <w:p/>
    <w:p/>
    <w:p>
      <w:pPr>
        <w:jc w:val="center"/>
        <w:rPr>
          <w:b/>
          <w:sz w:val="44"/>
          <w:szCs w:val="44"/>
        </w:rPr>
      </w:pPr>
      <w:r>
        <w:rPr>
          <w:rFonts w:hint="eastAsia"/>
          <w:b/>
          <w:sz w:val="44"/>
          <w:szCs w:val="44"/>
        </w:rPr>
        <w:t>正采（深圳）招标代理有限公司</w:t>
      </w:r>
    </w:p>
    <w:p>
      <w:pPr>
        <w:jc w:val="center"/>
        <w:rPr>
          <w:rFonts w:eastAsia="宋体" w:hint="eastAsia"/>
          <w:b/>
          <w:sz w:val="44"/>
          <w:szCs w:val="44"/>
          <w:lang w:val="en-US" w:eastAsia="zh-CN"/>
        </w:rPr>
      </w:pPr>
      <w:r>
        <w:rPr>
          <w:rFonts w:hint="eastAsia"/>
          <w:b/>
          <w:sz w:val="44"/>
          <w:szCs w:val="44"/>
        </w:rPr>
        <w:t>二〇二</w:t>
      </w:r>
      <w:r>
        <w:rPr>
          <w:rFonts w:eastAsia="宋体" w:hint="eastAsia"/>
          <w:b/>
          <w:sz w:val="44"/>
          <w:szCs w:val="44"/>
          <w:lang w:val="en-US" w:eastAsia="zh-CN"/>
        </w:rPr>
        <w:t>四</w:t>
      </w:r>
    </w:p>
    <w:p>
      <w:pPr>
        <w:jc w:val="center"/>
      </w:pPr>
    </w:p>
    <w:p>
      <w:pPr>
        <w:jc w:val="center"/>
      </w:pPr>
    </w:p>
    <w:p>
      <w:pPr>
        <w:pStyle w:val="BodyText"/>
      </w:pPr>
    </w:p>
    <w:p>
      <w:pPr>
        <w:pStyle w:val="1"/>
      </w:pPr>
    </w:p>
    <w:p/>
    <w:p>
      <w:pPr>
        <w:spacing w:line="360" w:lineRule="auto"/>
        <w:ind w:firstLine="480" w:firstLineChars="200"/>
        <w:jc w:val="center"/>
        <w:rPr>
          <w:rFonts w:ascii="宋体" w:hAnsi="宋体"/>
          <w:color w:val="FF0000"/>
          <w:sz w:val="20"/>
          <w:szCs w:val="20"/>
        </w:rPr>
      </w:pPr>
      <w:r>
        <w:rPr>
          <w:rFonts w:ascii="宋体" w:eastAsia="黑体" w:hAnsi="宋体" w:hint="eastAsia"/>
          <w:b/>
          <w:bCs/>
          <w:color w:val="FF0000"/>
          <w:kern w:val="44"/>
          <w:sz w:val="28"/>
          <w:szCs w:val="44"/>
        </w:rPr>
        <w:t>警示条款</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一、</w:t>
      </w:r>
      <w:r>
        <w:rPr>
          <w:rFonts w:ascii="宋体" w:hAnsi="宋体" w:hint="eastAsia"/>
          <w:b/>
          <w:bCs/>
          <w:color w:val="FF0000"/>
          <w:sz w:val="20"/>
          <w:szCs w:val="20"/>
        </w:rPr>
        <w:t>《深圳经济特区政府采购条例》第五十七条</w:t>
      </w:r>
      <w:r>
        <w:rPr>
          <w:rFonts w:ascii="宋体" w:hAnsi="宋体" w:hint="eastAsia"/>
          <w:color w:val="FF0000"/>
          <w:sz w:val="20"/>
          <w:szCs w:val="20"/>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（一）在采购活动中应当回避而未回避的；</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（二）未按本条例规定签订、履行采购合同，造成严重后果的；</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（三）隐瞒真实情况，提供虚假资料的；</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（四）以非法手段排斥其他供应商参与竞争的；</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（五）与其他采购参加人串通投标的；</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（六）恶意投诉的；</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（七）向采购项目相关人行贿或者提供其他不当利益的；</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（八）阻碍、抗拒主管部门监督检查的；</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（九）其他违反本条例规定的行为。</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二、</w:t>
      </w:r>
      <w:r>
        <w:rPr>
          <w:rFonts w:ascii="宋体" w:hAnsi="宋体" w:hint="eastAsia"/>
          <w:b/>
          <w:bCs/>
          <w:color w:val="FF0000"/>
          <w:sz w:val="20"/>
          <w:szCs w:val="20"/>
        </w:rPr>
        <w:t>《深圳经济特区政府采购条例实施细则》第七十六条</w:t>
      </w:r>
      <w:r>
        <w:rPr>
          <w:rFonts w:ascii="宋体" w:hAnsi="宋体" w:hint="eastAsia"/>
          <w:color w:val="FF0000"/>
          <w:sz w:val="20"/>
          <w:szCs w:val="20"/>
        </w:rPr>
        <w:t xml:space="preserve"> 供应商有下列行为之一的，由主管部门记入供应商诚信档案并作出以下处罚：</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（一）违法行为属于采购条例第五十七条的（一）、</w:t>
      </w:r>
      <w:r>
        <w:rPr>
          <w:rFonts w:ascii="宋体" w:eastAsia="宋体" w:hAnsi="宋体" w:hint="eastAsia"/>
          <w:color w:val="FF0000"/>
          <w:sz w:val="20"/>
          <w:szCs w:val="20"/>
          <w:lang w:eastAsia="zh-CN"/>
        </w:rPr>
        <w:t>（二）（三）（四）（六）（八）</w:t>
      </w:r>
      <w:r>
        <w:rPr>
          <w:rFonts w:ascii="宋体" w:hAnsi="宋体" w:hint="eastAsia"/>
          <w:color w:val="FF0000"/>
          <w:sz w:val="20"/>
          <w:szCs w:val="20"/>
        </w:rPr>
        <w:t>（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pPr>
        <w:spacing w:line="360" w:lineRule="auto"/>
        <w:ind w:firstLine="480" w:firstLineChars="200"/>
        <w:rPr>
          <w:rFonts w:ascii="宋体" w:hAnsi="宋体"/>
          <w:color w:val="FF0000"/>
          <w:sz w:val="20"/>
          <w:szCs w:val="20"/>
        </w:rPr>
      </w:pPr>
      <w:r>
        <w:rPr>
          <w:rFonts w:ascii="宋体" w:hAnsi="宋体" w:hint="eastAsia"/>
          <w:b/>
          <w:bCs/>
          <w:color w:val="FF0000"/>
          <w:sz w:val="20"/>
          <w:szCs w:val="20"/>
        </w:rPr>
        <w:t>三、《深圳经济特区政府采购条例实施细则》第七十七条 </w:t>
      </w:r>
      <w:r>
        <w:rPr>
          <w:rFonts w:ascii="宋体" w:hAnsi="宋体" w:hint="eastAsia"/>
          <w:color w:val="FF0000"/>
          <w:sz w:val="20"/>
          <w:szCs w:val="20"/>
        </w:rPr>
        <w:t>供应商有下列行为之一的，属于情节严重，由市场监管部门依法吊销其营业执照</w:t>
      </w:r>
      <w:r>
        <w:rPr>
          <w:rFonts w:ascii="宋体" w:eastAsia="宋体" w:hAnsi="宋体" w:hint="eastAsia"/>
          <w:color w:val="FF0000"/>
          <w:sz w:val="20"/>
          <w:szCs w:val="20"/>
          <w:lang w:eastAsia="zh-CN"/>
        </w:rPr>
        <w:t>，由</w:t>
      </w:r>
      <w:r>
        <w:rPr>
          <w:rFonts w:ascii="宋体" w:hAnsi="宋体" w:hint="eastAsia"/>
          <w:color w:val="FF0000"/>
          <w:sz w:val="20"/>
          <w:szCs w:val="20"/>
        </w:rPr>
        <w:t>主管部门取消其参与本市政府采购的资格，并作出以下处罚：</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（一）违法行为属于采购条例第五十七条的（一）、</w:t>
      </w:r>
      <w:r>
        <w:rPr>
          <w:rFonts w:ascii="宋体" w:eastAsia="宋体" w:hAnsi="宋体" w:hint="eastAsia"/>
          <w:color w:val="FF0000"/>
          <w:sz w:val="20"/>
          <w:szCs w:val="20"/>
          <w:lang w:eastAsia="zh-CN"/>
        </w:rPr>
        <w:t>（二）（三）（四）（六）（八）</w:t>
      </w:r>
      <w:r>
        <w:rPr>
          <w:rFonts w:ascii="宋体" w:hAnsi="宋体" w:hint="eastAsia"/>
          <w:color w:val="FF0000"/>
          <w:sz w:val="20"/>
          <w:szCs w:val="20"/>
        </w:rPr>
        <w:t>（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pPr>
        <w:spacing w:line="360" w:lineRule="auto"/>
        <w:ind w:firstLine="480" w:firstLineChars="200"/>
        <w:rPr>
          <w:rFonts w:ascii="宋体" w:hAnsi="宋体"/>
          <w:color w:val="FF0000"/>
          <w:sz w:val="20"/>
          <w:szCs w:val="20"/>
        </w:rPr>
      </w:pPr>
      <w:r>
        <w:rPr>
          <w:rFonts w:ascii="宋体" w:hAnsi="宋体" w:hint="eastAsia"/>
          <w:b/>
          <w:bCs/>
          <w:color w:val="FF0000"/>
          <w:sz w:val="20"/>
          <w:szCs w:val="20"/>
        </w:rPr>
        <w:t>四、《深圳经济特区政府采购条例实施细则》第七十九条 </w:t>
      </w:r>
      <w:r>
        <w:rPr>
          <w:rFonts w:ascii="宋体" w:hAnsi="宋体" w:hint="eastAsia"/>
          <w:color w:val="FF0000"/>
          <w:sz w:val="20"/>
          <w:szCs w:val="20"/>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w:t>
      </w:r>
      <w:r>
        <w:rPr>
          <w:rFonts w:ascii="宋体" w:eastAsia="宋体" w:hAnsi="宋体" w:hint="eastAsia"/>
          <w:color w:val="FF0000"/>
          <w:sz w:val="20"/>
          <w:szCs w:val="20"/>
          <w:lang w:eastAsia="zh-CN"/>
        </w:rPr>
        <w:t>属于</w:t>
      </w:r>
      <w:r>
        <w:rPr>
          <w:rFonts w:ascii="宋体" w:hAnsi="宋体" w:hint="eastAsia"/>
          <w:color w:val="FF0000"/>
          <w:sz w:val="20"/>
          <w:szCs w:val="20"/>
        </w:rPr>
        <w:t>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w:t>
      </w:r>
      <w:r>
        <w:rPr>
          <w:rFonts w:ascii="宋体" w:eastAsia="宋体" w:hAnsi="宋体" w:hint="eastAsia"/>
          <w:color w:val="FF0000"/>
          <w:sz w:val="20"/>
          <w:szCs w:val="20"/>
          <w:lang w:eastAsia="zh-CN"/>
        </w:rPr>
        <w:t>法律法规</w:t>
      </w:r>
      <w:r>
        <w:rPr>
          <w:rFonts w:ascii="宋体" w:hAnsi="宋体" w:hint="eastAsia"/>
          <w:color w:val="FF0000"/>
          <w:sz w:val="20"/>
          <w:szCs w:val="20"/>
        </w:rPr>
        <w:t>认定的其他情形。</w:t>
      </w:r>
    </w:p>
    <w:p>
      <w:pPr>
        <w:spacing w:line="360" w:lineRule="auto"/>
        <w:ind w:firstLine="480" w:firstLineChars="200"/>
        <w:rPr>
          <w:rFonts w:ascii="宋体" w:hAnsi="宋体"/>
          <w:color w:val="FF0000"/>
          <w:sz w:val="20"/>
          <w:szCs w:val="20"/>
        </w:rPr>
      </w:pPr>
      <w:r>
        <w:rPr>
          <w:rFonts w:ascii="宋体" w:hAnsi="宋体" w:hint="eastAsia"/>
          <w:b/>
          <w:bCs/>
          <w:color w:val="FF0000"/>
          <w:sz w:val="20"/>
          <w:szCs w:val="20"/>
        </w:rPr>
        <w:t>五、《深圳经济特区政府采购条例实施细则》第八十一条 </w:t>
      </w:r>
      <w:r>
        <w:rPr>
          <w:rFonts w:ascii="宋体" w:hAnsi="宋体" w:hint="eastAsia"/>
          <w:color w:val="FF0000"/>
          <w:sz w:val="20"/>
          <w:szCs w:val="20"/>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spacing w:line="360" w:lineRule="auto"/>
        <w:ind w:firstLine="480" w:firstLineChars="200"/>
        <w:rPr>
          <w:rFonts w:ascii="宋体" w:hAnsi="宋体"/>
          <w:color w:val="FF0000"/>
          <w:sz w:val="20"/>
          <w:szCs w:val="20"/>
        </w:rPr>
      </w:pPr>
      <w:r>
        <w:rPr>
          <w:rFonts w:ascii="宋体" w:hAnsi="宋体" w:hint="eastAsia"/>
          <w:color w:val="FF0000"/>
          <w:sz w:val="20"/>
          <w:szCs w:val="20"/>
        </w:rPr>
        <w:t>投标供应商不能提供项目负责人或者主要技术人员的劳动合同、社会保险等劳动关系证明材料的，视为存在前款第（三）项规定的情形。</w:t>
      </w:r>
    </w:p>
    <w:p>
      <w:pPr>
        <w:rPr>
          <w:rFonts w:ascii="宋体" w:hAnsi="宋体"/>
          <w:color w:val="FF0000"/>
          <w:sz w:val="32"/>
          <w:szCs w:val="32"/>
        </w:rPr>
      </w:pPr>
      <w:r>
        <w:rPr>
          <w:rFonts w:ascii="宋体" w:hAnsi="宋体"/>
          <w:color w:val="FF0000"/>
          <w:sz w:val="32"/>
          <w:szCs w:val="32"/>
        </w:rPr>
        <w:br w:type="page"/>
      </w:r>
    </w:p>
    <w:p>
      <w:pPr>
        <w:pStyle w:val="Heading1"/>
        <w:rPr>
          <w:sz w:val="48"/>
          <w:szCs w:val="48"/>
        </w:rPr>
      </w:pPr>
      <w:r>
        <w:rPr>
          <w:rFonts w:hint="eastAsia"/>
          <w:sz w:val="48"/>
          <w:szCs w:val="48"/>
        </w:rPr>
        <w:t>目   录</w:t>
      </w:r>
    </w:p>
    <w:p>
      <w:pPr>
        <w:spacing w:line="360" w:lineRule="auto"/>
        <w:rPr>
          <w:b/>
          <w:bCs/>
        </w:rPr>
      </w:pPr>
      <w:r>
        <w:rPr>
          <w:rFonts w:hint="eastAsia"/>
          <w:b/>
          <w:bCs/>
        </w:rPr>
        <w:t>第一册  专用条款</w:t>
      </w:r>
    </w:p>
    <w:p>
      <w:pPr>
        <w:spacing w:line="360" w:lineRule="auto"/>
        <w:ind w:left="720" w:firstLine="720" w:leftChars="300" w:firstLineChars="300"/>
        <w:rPr>
          <w:rFonts w:ascii="宋体" w:hAnsi="宋体"/>
          <w:szCs w:val="21"/>
        </w:rPr>
      </w:pPr>
      <w:r>
        <w:rPr>
          <w:rFonts w:ascii="宋体" w:hAnsi="宋体" w:hint="eastAsia"/>
          <w:szCs w:val="21"/>
        </w:rPr>
        <w:t>第一章  招标公告</w:t>
      </w:r>
    </w:p>
    <w:p>
      <w:pPr>
        <w:spacing w:line="360" w:lineRule="auto"/>
        <w:ind w:left="720" w:firstLine="720" w:leftChars="300" w:firstLineChars="300"/>
        <w:rPr>
          <w:rFonts w:ascii="宋体" w:hAnsi="宋体"/>
          <w:szCs w:val="21"/>
        </w:rPr>
      </w:pPr>
      <w:r>
        <w:rPr>
          <w:rFonts w:ascii="宋体" w:hAnsi="宋体" w:hint="eastAsia"/>
          <w:szCs w:val="21"/>
        </w:rPr>
        <w:t>第二章  对通用条款的补充内容及其他关键信息</w:t>
      </w:r>
    </w:p>
    <w:p>
      <w:pPr>
        <w:spacing w:line="360" w:lineRule="auto"/>
        <w:ind w:left="720" w:firstLine="720" w:leftChars="300" w:firstLineChars="300"/>
        <w:rPr>
          <w:rFonts w:ascii="宋体" w:hAnsi="宋体"/>
          <w:szCs w:val="21"/>
        </w:rPr>
      </w:pPr>
      <w:r>
        <w:rPr>
          <w:rFonts w:ascii="宋体" w:hAnsi="宋体" w:hint="eastAsia"/>
          <w:szCs w:val="21"/>
        </w:rPr>
        <w:t xml:space="preserve">第三章 </w:t>
      </w:r>
      <w:r>
        <w:rPr>
          <w:rFonts w:ascii="宋体" w:hAnsi="宋体"/>
          <w:szCs w:val="21"/>
        </w:rPr>
        <w:t xml:space="preserve"> </w:t>
      </w:r>
      <w:r>
        <w:rPr>
          <w:rFonts w:ascii="宋体" w:hAnsi="宋体" w:hint="eastAsia"/>
          <w:szCs w:val="21"/>
        </w:rPr>
        <w:t>用户需求书</w:t>
      </w:r>
    </w:p>
    <w:p>
      <w:pPr>
        <w:spacing w:line="360" w:lineRule="auto"/>
        <w:ind w:left="720" w:firstLine="720" w:leftChars="300" w:firstLineChars="300"/>
        <w:rPr>
          <w:rFonts w:ascii="宋体" w:hAnsi="宋体"/>
          <w:szCs w:val="21"/>
        </w:rPr>
      </w:pPr>
      <w:r>
        <w:rPr>
          <w:rFonts w:ascii="宋体" w:hAnsi="宋体" w:hint="eastAsia"/>
          <w:szCs w:val="21"/>
        </w:rPr>
        <w:t xml:space="preserve">第四章 </w:t>
      </w:r>
      <w:r>
        <w:rPr>
          <w:rFonts w:ascii="宋体" w:hAnsi="宋体"/>
          <w:szCs w:val="21"/>
        </w:rPr>
        <w:t xml:space="preserve"> </w:t>
      </w:r>
      <w:r>
        <w:rPr>
          <w:rFonts w:ascii="宋体" w:hAnsi="宋体" w:hint="eastAsia"/>
          <w:szCs w:val="21"/>
        </w:rPr>
        <w:t>投标文件组成要求及格式</w:t>
      </w:r>
    </w:p>
    <w:p>
      <w:pPr>
        <w:spacing w:line="360" w:lineRule="auto"/>
        <w:ind w:left="720" w:firstLine="720" w:leftChars="300" w:firstLineChars="300"/>
        <w:rPr>
          <w:rFonts w:ascii="宋体" w:hAnsi="宋体"/>
          <w:szCs w:val="21"/>
        </w:rPr>
      </w:pPr>
      <w:r>
        <w:rPr>
          <w:rFonts w:ascii="宋体" w:hAnsi="宋体" w:hint="eastAsia"/>
          <w:szCs w:val="21"/>
        </w:rPr>
        <w:t>第五章  合同条款及格式</w:t>
      </w:r>
    </w:p>
    <w:p>
      <w:pPr>
        <w:spacing w:line="360" w:lineRule="auto"/>
        <w:rPr>
          <w:b/>
        </w:rPr>
      </w:pPr>
    </w:p>
    <w:p>
      <w:pPr>
        <w:spacing w:line="360" w:lineRule="auto"/>
        <w:rPr>
          <w:b/>
          <w:bCs/>
        </w:rPr>
      </w:pPr>
      <w:r>
        <w:rPr>
          <w:rFonts w:hint="eastAsia"/>
          <w:b/>
          <w:bCs/>
        </w:rPr>
        <w:t>第二册  通用条款</w:t>
      </w:r>
    </w:p>
    <w:p>
      <w:pPr>
        <w:spacing w:line="360" w:lineRule="auto"/>
        <w:ind w:left="720" w:firstLine="470" w:leftChars="300" w:firstLineChars="196"/>
        <w:rPr>
          <w:rFonts w:ascii="宋体" w:hAnsi="宋体"/>
          <w:szCs w:val="21"/>
        </w:rPr>
      </w:pPr>
      <w:r>
        <w:rPr>
          <w:rFonts w:ascii="宋体" w:hAnsi="宋体" w:hint="eastAsia"/>
          <w:szCs w:val="21"/>
        </w:rPr>
        <w:t>第一章  总则</w:t>
      </w:r>
    </w:p>
    <w:p>
      <w:pPr>
        <w:spacing w:line="360" w:lineRule="auto"/>
        <w:ind w:left="720" w:firstLine="470" w:leftChars="300" w:firstLineChars="196"/>
        <w:rPr>
          <w:rFonts w:ascii="宋体" w:hAnsi="宋体"/>
          <w:szCs w:val="21"/>
        </w:rPr>
      </w:pPr>
      <w:r>
        <w:rPr>
          <w:rFonts w:ascii="宋体" w:hAnsi="宋体" w:hint="eastAsia"/>
          <w:szCs w:val="21"/>
        </w:rPr>
        <w:t>第二章  招标文件</w:t>
      </w:r>
    </w:p>
    <w:p>
      <w:pPr>
        <w:spacing w:line="360" w:lineRule="auto"/>
        <w:ind w:left="720" w:firstLine="470" w:leftChars="300" w:firstLineChars="196"/>
        <w:rPr>
          <w:rFonts w:ascii="宋体" w:hAnsi="宋体"/>
          <w:szCs w:val="21"/>
        </w:rPr>
      </w:pPr>
      <w:r>
        <w:rPr>
          <w:rFonts w:ascii="宋体" w:hAnsi="宋体" w:hint="eastAsia"/>
          <w:szCs w:val="21"/>
        </w:rPr>
        <w:t>第三章  投标文件的编制</w:t>
      </w:r>
    </w:p>
    <w:p>
      <w:pPr>
        <w:spacing w:line="360" w:lineRule="auto"/>
        <w:ind w:left="720" w:firstLine="470" w:leftChars="300" w:firstLineChars="196"/>
        <w:rPr>
          <w:rFonts w:ascii="宋体" w:hAnsi="宋体"/>
          <w:szCs w:val="21"/>
        </w:rPr>
      </w:pPr>
      <w:r>
        <w:rPr>
          <w:rFonts w:ascii="宋体" w:hAnsi="宋体" w:hint="eastAsia"/>
          <w:szCs w:val="21"/>
        </w:rPr>
        <w:t>第四章  投标文件的递交</w:t>
      </w:r>
    </w:p>
    <w:p>
      <w:pPr>
        <w:spacing w:line="360" w:lineRule="auto"/>
        <w:ind w:left="720" w:firstLine="470" w:leftChars="300" w:firstLineChars="196"/>
        <w:rPr>
          <w:rFonts w:ascii="宋体" w:hAnsi="宋体"/>
          <w:szCs w:val="21"/>
        </w:rPr>
      </w:pPr>
      <w:r>
        <w:rPr>
          <w:rFonts w:ascii="宋体" w:hAnsi="宋体" w:hint="eastAsia"/>
          <w:szCs w:val="21"/>
        </w:rPr>
        <w:t>第五章  开标</w:t>
      </w:r>
    </w:p>
    <w:p>
      <w:pPr>
        <w:spacing w:line="360" w:lineRule="auto"/>
        <w:ind w:left="720" w:firstLine="470" w:leftChars="300" w:firstLineChars="196"/>
        <w:rPr>
          <w:rFonts w:ascii="宋体" w:hAnsi="宋体"/>
          <w:szCs w:val="21"/>
        </w:rPr>
      </w:pPr>
      <w:r>
        <w:rPr>
          <w:rFonts w:ascii="宋体" w:hAnsi="宋体" w:hint="eastAsia"/>
          <w:szCs w:val="21"/>
        </w:rPr>
        <w:t>第六章  评审要求</w:t>
      </w:r>
    </w:p>
    <w:p>
      <w:pPr>
        <w:spacing w:line="360" w:lineRule="auto"/>
        <w:ind w:left="720" w:firstLine="470" w:leftChars="300" w:firstLineChars="196"/>
        <w:rPr>
          <w:rFonts w:ascii="宋体" w:hAnsi="宋体"/>
          <w:szCs w:val="21"/>
        </w:rPr>
      </w:pPr>
      <w:r>
        <w:rPr>
          <w:rFonts w:ascii="宋体" w:hAnsi="宋体" w:hint="eastAsia"/>
          <w:szCs w:val="21"/>
        </w:rPr>
        <w:t>第七章  评审程序及评审方法</w:t>
      </w:r>
    </w:p>
    <w:p>
      <w:pPr>
        <w:spacing w:line="360" w:lineRule="auto"/>
        <w:ind w:left="720" w:firstLine="470" w:leftChars="300" w:firstLineChars="196"/>
        <w:rPr>
          <w:rFonts w:ascii="宋体" w:hAnsi="宋体"/>
          <w:szCs w:val="21"/>
        </w:rPr>
      </w:pPr>
      <w:r>
        <w:rPr>
          <w:rFonts w:ascii="宋体" w:hAnsi="宋体" w:hint="eastAsia"/>
          <w:szCs w:val="21"/>
        </w:rPr>
        <w:t>第八章  定标及公示</w:t>
      </w:r>
    </w:p>
    <w:p>
      <w:pPr>
        <w:spacing w:line="360" w:lineRule="auto"/>
        <w:ind w:left="720" w:firstLine="470" w:leftChars="300" w:firstLineChars="196"/>
        <w:rPr>
          <w:rFonts w:ascii="宋体" w:hAnsi="宋体"/>
          <w:szCs w:val="21"/>
        </w:rPr>
      </w:pPr>
      <w:r>
        <w:rPr>
          <w:rFonts w:ascii="宋体" w:hAnsi="宋体" w:hint="eastAsia"/>
          <w:szCs w:val="21"/>
        </w:rPr>
        <w:t>第九章  公开招标失败的后续处理</w:t>
      </w:r>
    </w:p>
    <w:p>
      <w:pPr>
        <w:spacing w:line="360" w:lineRule="auto"/>
        <w:ind w:left="720" w:firstLine="470" w:leftChars="300" w:firstLineChars="196"/>
        <w:rPr>
          <w:rFonts w:ascii="宋体" w:hAnsi="宋体"/>
          <w:szCs w:val="21"/>
        </w:rPr>
      </w:pPr>
      <w:r>
        <w:rPr>
          <w:rFonts w:ascii="宋体" w:hAnsi="宋体" w:hint="eastAsia"/>
          <w:szCs w:val="21"/>
        </w:rPr>
        <w:t>第十章  合同的授予与备案</w:t>
      </w:r>
    </w:p>
    <w:p>
      <w:pPr>
        <w:spacing w:line="360" w:lineRule="auto"/>
        <w:ind w:left="720" w:firstLine="470" w:leftChars="300" w:firstLineChars="196"/>
        <w:rPr>
          <w:rFonts w:ascii="宋体" w:hAnsi="宋体"/>
          <w:szCs w:val="21"/>
        </w:rPr>
      </w:pPr>
      <w:r>
        <w:rPr>
          <w:rFonts w:ascii="宋体" w:hAnsi="宋体" w:hint="eastAsia"/>
          <w:szCs w:val="21"/>
        </w:rPr>
        <w:t>第十一章  质疑处理</w:t>
      </w:r>
    </w:p>
    <w:p>
      <w:pPr>
        <w:ind w:left="720" w:firstLine="470" w:leftChars="300" w:firstLineChars="196"/>
        <w:rPr>
          <w:rFonts w:ascii="宋体" w:eastAsia="宋体" w:hAnsi="宋体" w:cs="宋体"/>
          <w:color w:val="000000"/>
        </w:rPr>
      </w:pPr>
      <w:r>
        <w:rPr>
          <w:rFonts w:ascii="宋体" w:eastAsia="宋体" w:hAnsi="宋体" w:cs="宋体" w:hint="eastAsia"/>
          <w:color w:val="000000"/>
          <w:szCs w:val="21"/>
        </w:rPr>
        <w:t>第十二章 中标代理服务费</w:t>
      </w:r>
    </w:p>
    <w:p>
      <w:pPr>
        <w:spacing w:line="360" w:lineRule="auto"/>
        <w:ind w:left="720" w:firstLine="470" w:leftChars="300" w:firstLineChars="196"/>
        <w:rPr>
          <w:rFonts w:ascii="宋体" w:hAnsi="宋体"/>
          <w:szCs w:val="21"/>
        </w:rPr>
      </w:pPr>
    </w:p>
    <w:p/>
    <w:p>
      <w:pPr>
        <w:rPr>
          <w:rFonts w:ascii="宋体" w:eastAsia="宋体" w:hAnsi="宋体"/>
          <w:szCs w:val="32"/>
        </w:rPr>
      </w:pPr>
    </w:p>
    <w:p>
      <w:pPr>
        <w:jc w:val="center"/>
        <w:rPr>
          <w:rFonts w:ascii="宋体" w:eastAsia="宋体" w:hAnsi="宋体" w:cs="宋体"/>
          <w:b/>
          <w:bCs/>
          <w:sz w:val="44"/>
          <w:szCs w:val="44"/>
        </w:rPr>
      </w:pPr>
      <w:r>
        <w:rPr>
          <w:rFonts w:ascii="宋体" w:eastAsia="宋体" w:hAnsi="宋体" w:hint="eastAsia"/>
          <w:szCs w:val="32"/>
        </w:rPr>
        <w:br w:type="page"/>
      </w:r>
      <w:r>
        <w:rPr>
          <w:rFonts w:ascii="宋体" w:eastAsia="宋体" w:hAnsi="宋体" w:cs="宋体" w:hint="eastAsia"/>
          <w:b/>
          <w:bCs/>
          <w:sz w:val="44"/>
          <w:szCs w:val="44"/>
        </w:rPr>
        <w:t>第一册  专用条款</w:t>
      </w:r>
    </w:p>
    <w:p>
      <w:pPr>
        <w:pStyle w:val="Heading2"/>
        <w:numPr>
          <w:ilvl w:val="0"/>
          <w:numId w:val="1"/>
        </w:numPr>
        <w:rPr>
          <w:rFonts w:cs="宋体"/>
          <w:szCs w:val="28"/>
        </w:rPr>
      </w:pPr>
      <w:r>
        <w:rPr>
          <w:rFonts w:cs="宋体" w:hint="eastAsia"/>
          <w:sz w:val="36"/>
          <w:szCs w:val="36"/>
        </w:rPr>
        <w:t xml:space="preserve"> 招标公告</w:t>
      </w:r>
    </w:p>
    <w:p>
      <w:pPr>
        <w:pStyle w:val="BodyText"/>
        <w:rPr>
          <w:sz w:val="11"/>
          <w:szCs w:val="11"/>
        </w:rPr>
      </w:pPr>
    </w:p>
    <w:p>
      <w:pPr>
        <w:spacing w:line="360" w:lineRule="auto"/>
        <w:rPr>
          <w:rFonts w:ascii="宋体" w:hAnsi="宋体" w:cs="宋体"/>
          <w:sz w:val="21"/>
          <w:szCs w:val="21"/>
        </w:rPr>
      </w:pPr>
      <w:r>
        <w:rPr>
          <w:rFonts w:ascii="宋体" w:hAnsi="宋体" w:cs="宋体" w:hint="eastAsia"/>
          <w:b/>
          <w:bCs/>
        </w:rPr>
        <w:t>申请人的资格要求</w:t>
      </w:r>
    </w:p>
    <w:p>
      <w:pPr>
        <w:numPr>
          <w:ilvl w:val="0"/>
          <w:numId w:val="2"/>
        </w:num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具有独立法人资格</w:t>
      </w:r>
      <w:r>
        <w:rPr>
          <w:rFonts w:ascii="宋体" w:eastAsia="宋体" w:hAnsi="宋体" w:cs="宋体" w:hint="eastAsia"/>
          <w:szCs w:val="21"/>
          <w:highlight w:val="yellow"/>
          <w:lang w:eastAsia="zh-CN"/>
        </w:rPr>
        <w:t>或</w:t>
      </w:r>
      <w:r>
        <w:rPr>
          <w:rFonts w:ascii="宋体" w:eastAsia="宋体" w:hAnsi="宋体" w:cs="宋体" w:hint="eastAsia"/>
          <w:szCs w:val="21"/>
          <w:highlight w:val="yellow"/>
        </w:rPr>
        <w:t>具有独立承担民事责任能力</w:t>
      </w:r>
      <w:r>
        <w:rPr>
          <w:rFonts w:ascii="宋体" w:eastAsia="宋体" w:hAnsi="宋体" w:cs="宋体" w:hint="eastAsia"/>
          <w:szCs w:val="21"/>
          <w:highlight w:val="yellow"/>
          <w:lang w:eastAsia="zh-CN"/>
        </w:rPr>
        <w:t>的其他</w:t>
      </w:r>
      <w:r>
        <w:rPr>
          <w:rFonts w:ascii="宋体" w:eastAsia="宋体" w:hAnsi="宋体" w:cs="宋体" w:hint="eastAsia"/>
          <w:szCs w:val="21"/>
          <w:highlight w:val="yellow"/>
        </w:rPr>
        <w:t>组织（提供营业执照或事业单位法人证书等证明资料扫描件）；</w:t>
      </w:r>
    </w:p>
    <w:p>
      <w:pPr>
        <w:numPr>
          <w:ilvl w:val="0"/>
          <w:numId w:val="2"/>
        </w:num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本项目不接受联合体投标，不接受投标人选用进口产品参与投标</w:t>
      </w:r>
      <w:r>
        <w:rPr>
          <w:rFonts w:ascii="宋体" w:eastAsia="宋体" w:hAnsi="宋体" w:cs="宋体" w:hint="eastAsia"/>
          <w:szCs w:val="21"/>
          <w:highlight w:val="yellow"/>
          <w:lang w:eastAsia="zh-CN"/>
        </w:rPr>
        <w:t>；</w:t>
      </w:r>
    </w:p>
    <w:p>
      <w:pPr>
        <w:numPr>
          <w:ilvl w:val="0"/>
          <w:numId w:val="2"/>
        </w:num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参与本项目政府采购活动时不存在被有关部门禁止参与政府采购活动且在有效期内的情况 （由供应商在《政府采购投标及履约承诺函》中作出声明）</w:t>
      </w:r>
      <w:r>
        <w:rPr>
          <w:rFonts w:ascii="宋体" w:eastAsia="宋体" w:hAnsi="宋体" w:cs="宋体" w:hint="eastAsia"/>
          <w:szCs w:val="21"/>
          <w:highlight w:val="yellow"/>
          <w:lang w:eastAsia="zh-CN"/>
        </w:rPr>
        <w:t>；</w:t>
      </w:r>
    </w:p>
    <w:p>
      <w:pPr>
        <w:numPr>
          <w:ilvl w:val="0"/>
          <w:numId w:val="2"/>
        </w:num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具备《中华人民共和国政府采购法》第二十二条第一款的条件（由供应商在《政府采购投标及履约承诺函》中作出声明）；</w:t>
      </w:r>
    </w:p>
    <w:p>
      <w:pPr>
        <w:numPr>
          <w:ilvl w:val="0"/>
          <w:numId w:val="2"/>
        </w:num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未被列入失信被执行人、重大税收违法案件当事人名单、政府采购严重违法失信行为记录名单（由供应商在《政府采购投标及履约承诺函》中作出声明）；</w:t>
      </w:r>
    </w:p>
    <w:p>
      <w:pPr>
        <w:numPr>
          <w:ilvl w:val="0"/>
          <w:numId w:val="2"/>
        </w:num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由供应商在《政府采购投标及履约承诺函》中作出声明）；</w:t>
      </w:r>
    </w:p>
    <w:p>
      <w:pPr>
        <w:numPr>
          <w:ilvl w:val="0"/>
          <w:numId w:val="2"/>
        </w:numPr>
        <w:spacing w:line="360" w:lineRule="auto"/>
        <w:ind w:firstLine="480" w:firstLineChars="200"/>
        <w:rPr>
          <w:rFonts w:ascii="宋体" w:eastAsia="宋体" w:hAnsi="宋体" w:cs="宋体" w:hint="eastAsia"/>
          <w:szCs w:val="21"/>
          <w:highlight w:val="yellow"/>
        </w:rPr>
      </w:pPr>
      <w:r>
        <w:rPr>
          <w:rFonts w:ascii="宋体" w:eastAsia="宋体" w:hAnsi="宋体" w:cs="宋体" w:hint="eastAsia"/>
          <w:szCs w:val="21"/>
          <w:highlight w:val="yellow"/>
        </w:rPr>
        <w:t>本项目是（否）专门面向中小企业采购：否。</w:t>
      </w:r>
    </w:p>
    <w:p>
      <w:pPr>
        <w:spacing w:line="360" w:lineRule="auto"/>
        <w:ind w:firstLine="480" w:firstLineChars="200"/>
        <w:rPr>
          <w:rFonts w:ascii="宋体" w:eastAsia="宋体" w:hAnsi="宋体" w:cs="宋体"/>
          <w:szCs w:val="21"/>
          <w:highlight w:val="yellow"/>
        </w:rPr>
      </w:pPr>
      <w:r>
        <w:rPr>
          <w:rFonts w:ascii="宋体" w:eastAsia="宋体" w:hAnsi="宋体" w:cs="宋体" w:hint="eastAsia"/>
          <w:szCs w:val="21"/>
          <w:highlight w:val="yellow"/>
        </w:rPr>
        <w:t>注：（1）“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2）供应商投标（上传投标文件）必须先行办理注册手续，具体请按照本公告“六、其他补充事宜”相关内容指引办理。</w:t>
      </w:r>
    </w:p>
    <w:p>
      <w:pPr>
        <w:spacing w:line="360" w:lineRule="auto"/>
        <w:ind w:firstLine="480" w:firstLineChars="200"/>
        <w:rPr>
          <w:rFonts w:ascii="宋体" w:hAnsi="宋体"/>
          <w:b/>
          <w:bCs/>
          <w:color w:val="FF0000"/>
          <w:sz w:val="28"/>
          <w:szCs w:val="36"/>
        </w:rPr>
      </w:pPr>
    </w:p>
    <w:p>
      <w:pPr>
        <w:ind w:firstLine="480" w:firstLineChars="200"/>
        <w:rPr>
          <w:rFonts w:ascii="宋体" w:hAnsi="宋体"/>
          <w:b/>
          <w:bCs/>
          <w:color w:val="FF0000"/>
          <w:sz w:val="28"/>
          <w:szCs w:val="36"/>
        </w:rPr>
      </w:pPr>
      <w:r>
        <w:rPr>
          <w:rFonts w:ascii="宋体" w:hAnsi="宋体" w:hint="eastAsia"/>
          <w:b/>
          <w:bCs/>
          <w:color w:val="FF0000"/>
          <w:sz w:val="28"/>
          <w:szCs w:val="36"/>
        </w:rPr>
        <w:t>完整公告内容详见： http://zfcg.szggzy.com:8081/</w:t>
      </w:r>
    </w:p>
    <w:p>
      <w:pPr>
        <w:pStyle w:val="Heading2"/>
        <w:numPr>
          <w:ilvl w:val="0"/>
          <w:numId w:val="1"/>
        </w:numPr>
        <w:rPr>
          <w:rFonts w:cs="宋体"/>
          <w:sz w:val="36"/>
          <w:szCs w:val="36"/>
        </w:rPr>
      </w:pPr>
      <w:bookmarkStart w:id="1" w:name="bt技术标投标文件格式"/>
      <w:bookmarkEnd w:id="1"/>
      <w:bookmarkStart w:id="2" w:name="bt说明"/>
      <w:bookmarkEnd w:id="2"/>
      <w:bookmarkStart w:id="3" w:name="bt项目管理班子配备情况"/>
      <w:bookmarkEnd w:id="3"/>
      <w:bookmarkStart w:id="4" w:name="bt本工程承诺书"/>
      <w:bookmarkEnd w:id="4"/>
      <w:bookmarkStart w:id="5" w:name="bt商务标投标文件格式"/>
      <w:bookmarkEnd w:id="5"/>
      <w:bookmarkStart w:id="6" w:name="bt投标报价汇总表"/>
      <w:bookmarkEnd w:id="6"/>
      <w:bookmarkStart w:id="7" w:name="bt投标文件签署授权委托书"/>
      <w:bookmarkEnd w:id="7"/>
      <w:bookmarkStart w:id="8" w:name="bt其他资料由投标人自定"/>
      <w:bookmarkEnd w:id="8"/>
      <w:bookmarkStart w:id="9" w:name="bt投标人须知"/>
      <w:bookmarkEnd w:id="9"/>
      <w:bookmarkStart w:id="10" w:name="bt其他资料2"/>
      <w:bookmarkEnd w:id="10"/>
      <w:bookmarkStart w:id="11" w:name="合同格式"/>
      <w:bookmarkEnd w:id="11"/>
      <w:bookmarkStart w:id="12" w:name="bt合同条款及格式"/>
      <w:bookmarkEnd w:id="12"/>
      <w:bookmarkStart w:id="13" w:name="bt投标函"/>
      <w:bookmarkEnd w:id="13"/>
      <w:bookmarkStart w:id="14" w:name="bt投标人情况介绍"/>
      <w:bookmarkEnd w:id="14"/>
      <w:bookmarkStart w:id="15" w:name="bt开标一览表"/>
      <w:bookmarkEnd w:id="15"/>
      <w:bookmarkStart w:id="16" w:name="bt合同格式"/>
      <w:bookmarkEnd w:id="16"/>
      <w:bookmarkStart w:id="17" w:name="bt合同条款"/>
      <w:bookmarkEnd w:id="17"/>
      <w:bookmarkStart w:id="18" w:name="_Hlk71926094"/>
      <w:bookmarkStart w:id="19" w:name="_Toc73521547"/>
      <w:bookmarkStart w:id="20" w:name="_Toc101074876"/>
      <w:bookmarkStart w:id="21" w:name="_Toc60631620"/>
      <w:bookmarkStart w:id="22" w:name="_Toc73518117"/>
      <w:bookmarkStart w:id="23" w:name="_Toc100052364"/>
      <w:bookmarkStart w:id="24" w:name="_Toc60560625"/>
      <w:bookmarkStart w:id="25" w:name="_Toc73517639"/>
      <w:bookmarkStart w:id="26" w:name="_Toc73521635"/>
      <w:r>
        <w:rPr>
          <w:rFonts w:cs="宋体" w:hint="eastAsia"/>
          <w:sz w:val="36"/>
          <w:szCs w:val="36"/>
        </w:rPr>
        <w:t>对通用条款的补充内容及其他关键信息</w:t>
      </w:r>
      <w:bookmarkEnd w:id="18"/>
    </w:p>
    <w:p>
      <w:pPr>
        <w:pStyle w:val="Heading3"/>
        <w:jc w:val="center"/>
        <w:rPr>
          <w:sz w:val="32"/>
        </w:rPr>
      </w:pPr>
      <w:r>
        <w:rPr>
          <w:rFonts w:hint="eastAsia"/>
          <w:sz w:val="32"/>
        </w:rPr>
        <w:t>一、对通用条款的补充内容</w:t>
      </w:r>
      <w:bookmarkEnd w:id="19"/>
      <w:bookmarkEnd w:id="20"/>
      <w:bookmarkEnd w:id="21"/>
      <w:bookmarkEnd w:id="22"/>
      <w:bookmarkEnd w:id="23"/>
      <w:bookmarkEnd w:id="24"/>
      <w:bookmarkEnd w:id="25"/>
      <w:bookmarkEnd w:id="26"/>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2409"/>
        <w:gridCol w:w="4980"/>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426"/>
          <w:jc w:val="center"/>
        </w:trPr>
        <w:tc>
          <w:tcPr>
            <w:tcW w:w="978" w:type="dxa"/>
            <w:vAlign w:val="center"/>
          </w:tcPr>
          <w:p>
            <w:pPr>
              <w:spacing w:line="360" w:lineRule="auto"/>
              <w:jc w:val="center"/>
              <w:rPr>
                <w:rFonts w:ascii="宋体" w:eastAsia="宋体" w:hAnsi="宋体" w:cs="宋体" w:hint="eastAsia"/>
                <w:b/>
                <w:bCs/>
                <w:sz w:val="21"/>
                <w:szCs w:val="21"/>
              </w:rPr>
            </w:pPr>
            <w:r>
              <w:rPr>
                <w:rFonts w:ascii="宋体" w:eastAsia="宋体" w:hAnsi="宋体" w:cs="宋体" w:hint="eastAsia"/>
                <w:b/>
                <w:bCs/>
                <w:sz w:val="21"/>
                <w:szCs w:val="21"/>
              </w:rPr>
              <w:t>序号</w:t>
            </w:r>
          </w:p>
        </w:tc>
        <w:tc>
          <w:tcPr>
            <w:tcW w:w="2409" w:type="dxa"/>
            <w:vAlign w:val="center"/>
          </w:tcPr>
          <w:p>
            <w:pPr>
              <w:spacing w:line="360" w:lineRule="auto"/>
              <w:jc w:val="center"/>
              <w:rPr>
                <w:rFonts w:ascii="宋体" w:eastAsia="宋体" w:hAnsi="宋体" w:cs="宋体" w:hint="eastAsia"/>
                <w:b/>
                <w:bCs/>
                <w:sz w:val="21"/>
                <w:szCs w:val="21"/>
              </w:rPr>
            </w:pPr>
            <w:r>
              <w:rPr>
                <w:rFonts w:ascii="宋体" w:eastAsia="宋体" w:hAnsi="宋体" w:cs="宋体" w:hint="eastAsia"/>
                <w:b/>
                <w:bCs/>
                <w:sz w:val="21"/>
                <w:szCs w:val="21"/>
              </w:rPr>
              <w:t>涉及事项</w:t>
            </w:r>
          </w:p>
        </w:tc>
        <w:tc>
          <w:tcPr>
            <w:tcW w:w="4980" w:type="dxa"/>
            <w:vAlign w:val="center"/>
          </w:tcPr>
          <w:p>
            <w:pPr>
              <w:spacing w:line="360" w:lineRule="auto"/>
              <w:jc w:val="center"/>
              <w:rPr>
                <w:rFonts w:ascii="宋体" w:eastAsia="宋体" w:hAnsi="宋体" w:cs="宋体" w:hint="eastAsia"/>
                <w:b/>
                <w:bCs/>
                <w:sz w:val="21"/>
                <w:szCs w:val="21"/>
              </w:rPr>
            </w:pPr>
            <w:r>
              <w:rPr>
                <w:rFonts w:ascii="宋体" w:eastAsia="宋体" w:hAnsi="宋体" w:cs="宋体" w:hint="eastAsia"/>
                <w:b/>
                <w:bCs/>
                <w:sz w:val="21"/>
                <w:szCs w:val="21"/>
              </w:rPr>
              <w:t>具  体  补  充  内  容</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1</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采购人</w:t>
            </w:r>
          </w:p>
        </w:tc>
        <w:tc>
          <w:tcPr>
            <w:tcW w:w="4980" w:type="dxa"/>
            <w:vAlign w:val="center"/>
          </w:tcPr>
          <w:p>
            <w:pPr>
              <w:spacing w:line="360" w:lineRule="auto"/>
              <w:jc w:val="center"/>
              <w:rPr>
                <w:rFonts w:ascii="宋体" w:eastAsia="宋体" w:hAnsi="宋体" w:cs="宋体" w:hint="eastAsia"/>
                <w:sz w:val="21"/>
                <w:szCs w:val="21"/>
                <w:lang w:eastAsia="zh-CN"/>
              </w:rPr>
            </w:pPr>
            <w:r>
              <w:rPr>
                <w:rFonts w:ascii="宋体" w:eastAsia="宋体" w:hAnsi="宋体" w:cs="宋体" w:hint="eastAsia"/>
                <w:sz w:val="21"/>
                <w:szCs w:val="21"/>
                <w:highlight w:val="yellow"/>
                <w:lang w:eastAsia="zh-CN"/>
              </w:rPr>
              <w:t>深圳市</w:t>
            </w:r>
            <w:r>
              <w:rPr>
                <w:rFonts w:ascii="宋体" w:eastAsia="宋体" w:hAnsi="宋体" w:cs="宋体" w:hint="eastAsia"/>
                <w:sz w:val="21"/>
                <w:szCs w:val="21"/>
                <w:highlight w:val="yellow"/>
                <w:lang w:val="en-US" w:eastAsia="zh-CN"/>
              </w:rPr>
              <w:t>翠园</w:t>
            </w:r>
            <w:r>
              <w:rPr>
                <w:rFonts w:ascii="宋体" w:eastAsia="宋体" w:hAnsi="宋体" w:cs="宋体" w:hint="eastAsia"/>
                <w:sz w:val="21"/>
                <w:szCs w:val="21"/>
                <w:highlight w:val="yellow"/>
                <w:lang w:eastAsia="zh-CN"/>
              </w:rPr>
              <w:t>文锦中学</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2</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采购代理机构</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正采（深圳）招标代理有限公司</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3</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联合体投标</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不接受</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4</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踏勘现场</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不组织</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5</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标前会议</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不组织</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6</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招标文件的澄清和修改</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不晚于投标截止日三日前，投标人有义务在招标期间在采购代理机构网站浏览与本项目有关的澄清和修改信息。</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7</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投标有效期</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u w:val="single"/>
              </w:rPr>
              <w:t>120</w:t>
            </w:r>
            <w:r>
              <w:rPr>
                <w:rFonts w:ascii="宋体" w:eastAsia="宋体" w:hAnsi="宋体" w:cs="宋体" w:hint="eastAsia"/>
                <w:sz w:val="21"/>
                <w:szCs w:val="21"/>
              </w:rPr>
              <w:t>日历天（从投标截止之日算起）</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8</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投标人的替代方案</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不接受</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9</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投标文件的大小</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投标文件大小不得超过100MB</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10</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样品、现场演示、方案讲解</w:t>
            </w:r>
          </w:p>
        </w:tc>
        <w:tc>
          <w:tcPr>
            <w:tcW w:w="4980" w:type="dxa"/>
            <w:vAlign w:val="center"/>
          </w:tcPr>
          <w:p>
            <w:pPr>
              <w:spacing w:line="360" w:lineRule="auto"/>
              <w:jc w:val="center"/>
              <w:rPr>
                <w:rFonts w:ascii="宋体" w:eastAsia="宋体" w:hAnsi="宋体" w:cs="宋体" w:hint="eastAsia"/>
                <w:sz w:val="21"/>
                <w:szCs w:val="21"/>
              </w:rPr>
            </w:pPr>
            <w:r>
              <w:rPr>
                <w:rFonts w:ascii="Wingdings 2" w:eastAsia="宋体" w:hAnsi="Wingdings 2" w:cs="宋体" w:hint="eastAsia"/>
                <w:b/>
                <w:sz w:val="21"/>
                <w:szCs w:val="21"/>
              </w:rPr>
              <w:t>R</w:t>
            </w:r>
            <w:r>
              <w:rPr>
                <w:rFonts w:ascii="宋体" w:eastAsia="宋体" w:hAnsi="宋体" w:cs="宋体" w:hint="eastAsia"/>
                <w:sz w:val="21"/>
                <w:szCs w:val="21"/>
                <w:highlight w:val="none"/>
              </w:rPr>
              <w:t>有演示要求，具体安排见“</w:t>
            </w:r>
            <w:r>
              <w:rPr>
                <w:rFonts w:ascii="宋体" w:eastAsia="宋体" w:hAnsi="宋体" w:cs="宋体" w:hint="eastAsia"/>
                <w:sz w:val="21"/>
                <w:szCs w:val="21"/>
                <w:highlight w:val="none"/>
                <w:lang w:val="en-US" w:eastAsia="zh-CN"/>
              </w:rPr>
              <w:t>第三章用户需求书：</w:t>
            </w:r>
            <w:r>
              <w:rPr>
                <w:rFonts w:ascii="宋体" w:eastAsia="宋体" w:hAnsi="宋体" w:cs="宋体" w:hint="eastAsia"/>
                <w:sz w:val="21"/>
                <w:szCs w:val="21"/>
                <w:highlight w:val="none"/>
              </w:rPr>
              <w:t>六、</w:t>
            </w:r>
            <w:r>
              <w:rPr>
                <w:rFonts w:ascii="宋体" w:eastAsia="宋体" w:hAnsi="宋体" w:cs="宋体" w:hint="eastAsia"/>
                <w:sz w:val="21"/>
                <w:szCs w:val="21"/>
                <w:highlight w:val="none"/>
                <w:lang w:val="en-US" w:eastAsia="zh-CN"/>
              </w:rPr>
              <w:t>现场</w:t>
            </w:r>
            <w:r>
              <w:rPr>
                <w:rFonts w:ascii="宋体" w:eastAsia="宋体" w:hAnsi="宋体" w:cs="宋体" w:hint="eastAsia"/>
                <w:sz w:val="21"/>
                <w:szCs w:val="21"/>
                <w:highlight w:val="none"/>
              </w:rPr>
              <w:t>演示要求”</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11</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评审方法</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综合评分法</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12</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定标方法</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非评定分离</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13</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履约担保</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无</w:t>
            </w:r>
          </w:p>
        </w:tc>
      </w:tr>
      <w:tr>
        <w:tblPrEx>
          <w:tblW w:w="0" w:type="auto"/>
          <w:jc w:val="center"/>
          <w:tblLayout w:type="fixed"/>
          <w:tblCellMar>
            <w:top w:w="0" w:type="dxa"/>
            <w:left w:w="108" w:type="dxa"/>
            <w:bottom w:w="0" w:type="dxa"/>
            <w:right w:w="108" w:type="dxa"/>
          </w:tblCellMar>
        </w:tblPrEx>
        <w:trPr>
          <w:cantSplit/>
          <w:trHeight w:val="136"/>
          <w:jc w:val="center"/>
        </w:trPr>
        <w:tc>
          <w:tcPr>
            <w:tcW w:w="978"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14</w:t>
            </w:r>
          </w:p>
        </w:tc>
        <w:tc>
          <w:tcPr>
            <w:tcW w:w="2409"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中标服务费</w:t>
            </w:r>
          </w:p>
        </w:tc>
        <w:tc>
          <w:tcPr>
            <w:tcW w:w="498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参考《深圳市财政委员会关于规范深圳市社会采购代理机构管理有关事项的补充通知》（深财购〔2018〕27号）规定的招标代理服务费收费办法，按差额定率累进法计算收取。中标服务费由中标人在领取中标通知书前，以现金或转账形式一次性支付。</w:t>
            </w:r>
          </w:p>
        </w:tc>
      </w:tr>
    </w:tbl>
    <w:p>
      <w:pPr>
        <w:rPr>
          <w:szCs w:val="21"/>
        </w:rPr>
      </w:pPr>
    </w:p>
    <w:p>
      <w:pPr>
        <w:rPr>
          <w:szCs w:val="21"/>
        </w:rPr>
      </w:pPr>
    </w:p>
    <w:p>
      <w:pPr>
        <w:rPr>
          <w:b/>
          <w:bCs/>
        </w:rPr>
      </w:pPr>
      <w:r>
        <w:rPr>
          <w:rFonts w:hint="eastAsia"/>
          <w:b/>
          <w:bCs/>
          <w:szCs w:val="21"/>
        </w:rPr>
        <w:t>备注：本表是通用条款相关条款的补充和明确，如与通用条款内容相冲突的，以本表为准。</w:t>
      </w:r>
    </w:p>
    <w:p>
      <w:pPr>
        <w:rPr>
          <w:b/>
          <w:bCs/>
          <w:sz w:val="32"/>
          <w:szCs w:val="32"/>
        </w:rPr>
      </w:pPr>
      <w:r>
        <w:rPr>
          <w:rFonts w:hint="eastAsia"/>
          <w:b/>
          <w:bCs/>
          <w:sz w:val="32"/>
          <w:szCs w:val="32"/>
        </w:rPr>
        <w:br w:type="page"/>
      </w:r>
    </w:p>
    <w:p>
      <w:pPr>
        <w:pStyle w:val="Heading3"/>
        <w:jc w:val="center"/>
        <w:rPr>
          <w:sz w:val="32"/>
        </w:rPr>
      </w:pPr>
      <w:r>
        <w:rPr>
          <w:rFonts w:hint="eastAsia"/>
          <w:sz w:val="32"/>
        </w:rPr>
        <w:t>二、其他关键信息</w:t>
      </w:r>
    </w:p>
    <w:p>
      <w:pPr>
        <w:spacing w:line="360" w:lineRule="auto"/>
        <w:ind w:firstLine="480" w:firstLineChars="200"/>
        <w:rPr>
          <w:b/>
          <w:bCs/>
        </w:rPr>
      </w:pPr>
      <w:bookmarkStart w:id="27" w:name="_Hlk72579427"/>
      <w:r>
        <w:rPr>
          <w:rFonts w:hint="eastAsia"/>
          <w:b/>
          <w:bCs/>
        </w:rPr>
        <w:t>（一）评标定标信息</w:t>
      </w:r>
    </w:p>
    <w:p>
      <w:pPr>
        <w:spacing w:line="360" w:lineRule="auto"/>
        <w:jc w:val="center"/>
        <w:rPr>
          <w:b/>
        </w:rPr>
      </w:pPr>
    </w:p>
    <w:p>
      <w:pPr>
        <w:spacing w:line="360" w:lineRule="auto"/>
        <w:jc w:val="center"/>
      </w:pPr>
      <w:r>
        <w:rPr>
          <w:rFonts w:hint="eastAsia"/>
          <w:b/>
        </w:rPr>
        <w:t>（1）非评定分离项目</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4"/>
        <w:gridCol w:w="426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vAlign w:val="center"/>
          </w:tcPr>
          <w:p>
            <w:pPr>
              <w:widowControl w:val="0"/>
              <w:spacing w:line="360" w:lineRule="auto"/>
              <w:jc w:val="center"/>
            </w:pPr>
            <w:bookmarkStart w:id="28" w:name="_Hlk74239733"/>
            <w:r>
              <w:rPr>
                <w:rFonts w:hint="eastAsia"/>
              </w:rPr>
              <w:t>评标方法</w:t>
            </w:r>
          </w:p>
        </w:tc>
        <w:tc>
          <w:tcPr>
            <w:tcW w:w="4265" w:type="dxa"/>
            <w:vAlign w:val="center"/>
          </w:tcPr>
          <w:p>
            <w:pPr>
              <w:widowControl w:val="0"/>
              <w:spacing w:line="360" w:lineRule="auto"/>
              <w:jc w:val="center"/>
            </w:pPr>
            <w:r>
              <w:rPr>
                <w:rFonts w:hint="eastAsia"/>
              </w:rPr>
              <w:t>综合评分法</w:t>
            </w:r>
          </w:p>
        </w:tc>
      </w:tr>
      <w:tr>
        <w:tblPrEx>
          <w:tblW w:w="0" w:type="auto"/>
          <w:tblInd w:w="0" w:type="dxa"/>
          <w:tblLayout w:type="fixed"/>
          <w:tblCellMar>
            <w:top w:w="0" w:type="dxa"/>
            <w:left w:w="108" w:type="dxa"/>
            <w:bottom w:w="0" w:type="dxa"/>
            <w:right w:w="108" w:type="dxa"/>
          </w:tblCellMar>
        </w:tblPrEx>
        <w:tc>
          <w:tcPr>
            <w:tcW w:w="4264" w:type="dxa"/>
            <w:vAlign w:val="center"/>
          </w:tcPr>
          <w:p>
            <w:pPr>
              <w:widowControl w:val="0"/>
              <w:spacing w:line="360" w:lineRule="auto"/>
              <w:jc w:val="center"/>
            </w:pPr>
            <w:r>
              <w:rPr>
                <w:rFonts w:hint="eastAsia"/>
              </w:rPr>
              <w:t>候选中标供应商家数</w:t>
            </w:r>
          </w:p>
        </w:tc>
        <w:tc>
          <w:tcPr>
            <w:tcW w:w="4265" w:type="dxa"/>
            <w:vAlign w:val="center"/>
          </w:tcPr>
          <w:p>
            <w:pPr>
              <w:widowControl w:val="0"/>
              <w:spacing w:line="360" w:lineRule="auto"/>
              <w:jc w:val="center"/>
              <w:rPr>
                <w:rFonts w:eastAsia="宋体" w:hint="eastAsia"/>
                <w:lang w:eastAsia="zh-CN"/>
              </w:rPr>
            </w:pPr>
            <w:r>
              <w:rPr>
                <w:rFonts w:eastAsia="宋体" w:hint="eastAsia"/>
                <w:highlight w:val="yellow"/>
                <w:lang w:val="en-US" w:eastAsia="zh-CN"/>
              </w:rPr>
              <w:t>3</w:t>
            </w:r>
          </w:p>
        </w:tc>
      </w:tr>
      <w:tr>
        <w:tblPrEx>
          <w:tblW w:w="0" w:type="auto"/>
          <w:tblInd w:w="0" w:type="dxa"/>
          <w:tblLayout w:type="fixed"/>
          <w:tblCellMar>
            <w:top w:w="0" w:type="dxa"/>
            <w:left w:w="108" w:type="dxa"/>
            <w:bottom w:w="0" w:type="dxa"/>
            <w:right w:w="108" w:type="dxa"/>
          </w:tblCellMar>
        </w:tblPrEx>
        <w:tc>
          <w:tcPr>
            <w:tcW w:w="4264" w:type="dxa"/>
            <w:vAlign w:val="center"/>
          </w:tcPr>
          <w:p>
            <w:pPr>
              <w:widowControl w:val="0"/>
              <w:spacing w:line="360" w:lineRule="auto"/>
              <w:jc w:val="center"/>
            </w:pPr>
            <w:r>
              <w:rPr>
                <w:rFonts w:hint="eastAsia"/>
              </w:rPr>
              <w:t>中标供应商家数</w:t>
            </w:r>
          </w:p>
        </w:tc>
        <w:tc>
          <w:tcPr>
            <w:tcW w:w="4265" w:type="dxa"/>
            <w:vAlign w:val="center"/>
          </w:tcPr>
          <w:p>
            <w:pPr>
              <w:widowControl w:val="0"/>
              <w:spacing w:line="360" w:lineRule="auto"/>
              <w:jc w:val="center"/>
            </w:pPr>
            <w:r>
              <w:rPr>
                <w:rFonts w:hint="eastAsia"/>
              </w:rPr>
              <w:t>1</w:t>
            </w:r>
          </w:p>
        </w:tc>
      </w:tr>
    </w:tbl>
    <w:p>
      <w:pPr>
        <w:spacing w:line="360" w:lineRule="auto"/>
        <w:ind w:firstLine="480" w:firstLineChars="200"/>
        <w:rPr>
          <w:b/>
        </w:rPr>
      </w:pPr>
      <w:bookmarkEnd w:id="28"/>
    </w:p>
    <w:p>
      <w:pPr>
        <w:spacing w:line="360" w:lineRule="auto"/>
        <w:ind w:firstLine="480" w:firstLineChars="200"/>
        <w:rPr>
          <w:b/>
        </w:rPr>
      </w:pPr>
      <w:r>
        <w:rPr>
          <w:rFonts w:hint="eastAsia"/>
          <w:b/>
        </w:rPr>
        <w:t>（二）其他事项</w:t>
      </w:r>
      <w:bookmarkEnd w:id="27"/>
    </w:p>
    <w:p>
      <w:pPr>
        <w:spacing w:line="360" w:lineRule="auto"/>
        <w:ind w:firstLine="480" w:firstLineChars="200"/>
        <w:rPr>
          <w:b/>
          <w:bCs/>
        </w:rPr>
      </w:pPr>
      <w:r>
        <w:rPr>
          <w:b/>
          <w:bCs/>
        </w:rPr>
        <w:t>1</w:t>
      </w:r>
      <w:r>
        <w:rPr>
          <w:rFonts w:hint="eastAsia"/>
          <w:b/>
          <w:bCs/>
        </w:rPr>
        <w:t>、关于享受优惠政策的主体及价格扣除比例</w:t>
      </w:r>
    </w:p>
    <w:p>
      <w:pPr>
        <w:spacing w:line="360" w:lineRule="auto"/>
        <w:ind w:firstLine="480" w:firstLineChars="200"/>
      </w:pPr>
      <w:r>
        <w:rPr>
          <w:rFonts w:hint="eastAsia"/>
        </w:rPr>
        <w:t>（1）投标人提供的货物（以招标文件用户需求书“货物清单明细”的“货物名称”一栏为准）全部均由优惠主体制造，则对其投标总价给予</w:t>
      </w:r>
      <w:r>
        <w:rPr>
          <w:b/>
          <w:bCs/>
          <w:color w:val="FF0000"/>
          <w:u w:val="single"/>
        </w:rPr>
        <w:t xml:space="preserve">  </w:t>
      </w:r>
      <w:r>
        <w:rPr>
          <w:rFonts w:hint="eastAsia"/>
          <w:b/>
          <w:bCs/>
          <w:color w:val="FF0000"/>
          <w:u w:val="single"/>
        </w:rPr>
        <w:t>10</w:t>
      </w:r>
      <w:r>
        <w:rPr>
          <w:b/>
          <w:bCs/>
          <w:color w:val="FF0000"/>
          <w:u w:val="single"/>
        </w:rPr>
        <w:t xml:space="preserve"> %</w:t>
      </w:r>
      <w:r>
        <w:rPr>
          <w:rFonts w:hint="eastAsia"/>
        </w:rPr>
        <w:t>的扣除，用扣除后的价格参与评审。满足多项优惠政策的企业，不重复享受多项价格扣除政策。</w:t>
      </w:r>
    </w:p>
    <w:p>
      <w:pPr>
        <w:spacing w:line="360" w:lineRule="auto"/>
        <w:ind w:firstLine="480" w:firstLineChars="200"/>
      </w:pPr>
      <w:r>
        <w:rPr>
          <w:rFonts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Pr>
          <w:rFonts w:eastAsia="宋体" w:hint="eastAsia"/>
          <w:lang w:eastAsia="zh-CN"/>
        </w:rPr>
        <w:t>（</w:t>
      </w:r>
      <w:r>
        <w:t>b</w:t>
      </w:r>
      <w:r>
        <w:rPr>
          <w:rFonts w:eastAsia="宋体" w:hint="eastAsia"/>
          <w:lang w:eastAsia="zh-CN"/>
        </w:rPr>
        <w:t>）</w:t>
      </w:r>
      <w:r>
        <w:rPr>
          <w:rFonts w:hint="eastAsia"/>
        </w:rPr>
        <w:t>优惠主体制造是指货物由优惠主体生产且使用该优惠主体商号或者注册商标；投标人提供的货物既有优惠主体制造货物，又有非优惠主体制造货物的，不给予价格扣除。</w:t>
      </w:r>
    </w:p>
    <w:p>
      <w:pPr>
        <w:spacing w:line="360" w:lineRule="auto"/>
        <w:ind w:firstLine="480" w:firstLineChars="200"/>
      </w:pPr>
      <w:r>
        <w:rPr>
          <w:rFonts w:hint="eastAsia"/>
        </w:rPr>
        <w:t>（2）根据</w:t>
      </w:r>
      <w:r>
        <w:rPr>
          <w:rFonts w:hint="eastAsia"/>
          <w:szCs w:val="22"/>
        </w:rPr>
        <w:t>《工业和信息化部、国家统计局、国家发展和改革委员会、财政部关于印发中小企业划型标准规定的通知》（工信部联企业〔2011〕300 号）</w:t>
      </w:r>
      <w:r>
        <w:rPr>
          <w:rFonts w:hint="eastAsia"/>
        </w:rPr>
        <w:t>，</w:t>
      </w:r>
      <w:bookmarkStart w:id="29" w:name="_Hlk71970739"/>
      <w:r>
        <w:rPr>
          <w:rFonts w:hint="eastAsia"/>
        </w:rPr>
        <w:t>本项目</w:t>
      </w:r>
      <w:bookmarkStart w:id="30" w:name="_Hlk71924718"/>
      <w:r>
        <w:rPr>
          <w:rFonts w:hint="eastAsia"/>
        </w:rPr>
        <w:t>采购标的（货物）对应的中小企业划分标准所属行业</w:t>
      </w:r>
      <w:bookmarkEnd w:id="30"/>
      <w:r>
        <w:rPr>
          <w:rFonts w:hint="eastAsia"/>
        </w:rPr>
        <w:t>为</w:t>
      </w:r>
      <w:r>
        <w:rPr>
          <w:rFonts w:ascii="宋体" w:hAnsi="宋体" w:hint="eastAsia"/>
          <w:b/>
          <w:snapToGrid w:val="0"/>
          <w:szCs w:val="21"/>
          <w:u w:val="single"/>
        </w:rPr>
        <w:t>工业</w:t>
      </w:r>
      <w:r>
        <w:rPr>
          <w:rFonts w:hint="eastAsia"/>
        </w:rPr>
        <w:t>。</w:t>
      </w:r>
      <w:bookmarkEnd w:id="29"/>
    </w:p>
    <w:p>
      <w:pPr>
        <w:spacing w:line="360" w:lineRule="auto"/>
        <w:ind w:firstLine="480" w:firstLineChars="200"/>
      </w:pPr>
      <w:r>
        <w:rPr>
          <w:rFonts w:hint="eastAsia"/>
        </w:rPr>
        <w:t>（3）小型企业、微型企业、残疾人福利性单位作为优惠主体的认定资料为《中小企业声明函</w:t>
      </w:r>
      <w:r>
        <w:rPr>
          <w:rFonts w:eastAsia="宋体" w:hint="eastAsia"/>
          <w:lang w:eastAsia="zh-CN"/>
        </w:rPr>
        <w:t>》《</w:t>
      </w:r>
      <w:r>
        <w:rPr>
          <w:rFonts w:hint="eastAsia"/>
        </w:rPr>
        <w:t>残疾人福利性单位声明函》；监狱企业作为优惠主体的认定资料为省级以上监狱管理局、戒毒管理局出具的监狱企业证明文件。声明函样式见本招标文件第一册专用条款第三章“投标文件格式、附件”中“四、投标人情况及资格证明文件”章节提供的格式）。</w:t>
      </w:r>
    </w:p>
    <w:p>
      <w:pPr>
        <w:spacing w:line="360" w:lineRule="auto"/>
        <w:ind w:firstLine="480" w:firstLineChars="200"/>
        <w:rPr>
          <w:rFonts w:ascii="仿宋" w:eastAsia="仿宋" w:hAnsi="仿宋"/>
          <w:sz w:val="28"/>
          <w:szCs w:val="28"/>
        </w:rPr>
      </w:pPr>
      <w:r>
        <w:rPr>
          <w:rFonts w:hint="eastAsia"/>
        </w:rPr>
        <w:t>（4）享受价格扣除获得政府采购合同的，小微企业不得将合同分包给大中型企业。</w:t>
      </w:r>
    </w:p>
    <w:p>
      <w:pPr>
        <w:rPr>
          <w:b/>
        </w:rPr>
      </w:pPr>
    </w:p>
    <w:p>
      <w:pPr>
        <w:rPr>
          <w:b/>
        </w:rPr>
      </w:pPr>
    </w:p>
    <w:p>
      <w:pPr>
        <w:pStyle w:val="Heading2"/>
        <w:numPr>
          <w:ilvl w:val="0"/>
          <w:numId w:val="1"/>
        </w:numPr>
        <w:rPr>
          <w:rFonts w:cs="宋体"/>
          <w:sz w:val="36"/>
          <w:szCs w:val="36"/>
        </w:rPr>
      </w:pPr>
      <w:r>
        <w:rPr>
          <w:rFonts w:cs="宋体" w:hint="eastAsia"/>
          <w:sz w:val="36"/>
          <w:szCs w:val="36"/>
        </w:rPr>
        <w:t>用户需求书</w:t>
      </w:r>
    </w:p>
    <w:p>
      <w:pPr>
        <w:pStyle w:val="Heading3"/>
        <w:jc w:val="center"/>
        <w:rPr>
          <w:sz w:val="32"/>
        </w:rPr>
      </w:pPr>
      <w:r>
        <w:rPr>
          <w:rFonts w:hint="eastAsia"/>
          <w:sz w:val="32"/>
        </w:rPr>
        <w:t>一、项目基本信息</w:t>
      </w:r>
    </w:p>
    <w:tbl>
      <w:tblPr>
        <w:tblStyle w:val="TableNormal"/>
        <w:tblpPr w:leftFromText="180" w:rightFromText="180" w:vertAnchor="text" w:horzAnchor="margin" w:tblpX="1" w:tblpY="173"/>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62"/>
        <w:gridCol w:w="2900"/>
        <w:gridCol w:w="2960"/>
        <w:gridCol w:w="1897"/>
      </w:tblGrid>
      <w:tr>
        <w:tblPrEx>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54"/>
        </w:trPr>
        <w:tc>
          <w:tcPr>
            <w:tcW w:w="469" w:type="pct"/>
            <w:shd w:val="clear" w:color="auto" w:fill="C7DAF1"/>
            <w:vAlign w:val="center"/>
          </w:tcPr>
          <w:p>
            <w:pPr>
              <w:jc w:val="center"/>
              <w:rPr>
                <w:b/>
              </w:rPr>
            </w:pPr>
            <w:r>
              <w:rPr>
                <w:rFonts w:hint="eastAsia"/>
                <w:b/>
              </w:rPr>
              <w:t>序号</w:t>
            </w:r>
          </w:p>
        </w:tc>
        <w:tc>
          <w:tcPr>
            <w:tcW w:w="1723" w:type="pct"/>
            <w:shd w:val="clear" w:color="auto" w:fill="C7DAF1"/>
            <w:vAlign w:val="center"/>
          </w:tcPr>
          <w:p>
            <w:pPr>
              <w:jc w:val="center"/>
              <w:rPr>
                <w:b/>
              </w:rPr>
            </w:pPr>
            <w:r>
              <w:rPr>
                <w:rFonts w:hint="eastAsia"/>
                <w:b/>
              </w:rPr>
              <w:t>采购计划编号</w:t>
            </w:r>
          </w:p>
        </w:tc>
        <w:tc>
          <w:tcPr>
            <w:tcW w:w="1758" w:type="pct"/>
            <w:shd w:val="clear" w:color="auto" w:fill="C7DAF1"/>
            <w:vAlign w:val="center"/>
          </w:tcPr>
          <w:p>
            <w:pPr>
              <w:jc w:val="center"/>
              <w:rPr>
                <w:b/>
              </w:rPr>
            </w:pPr>
            <w:r>
              <w:rPr>
                <w:rFonts w:hint="eastAsia"/>
                <w:b/>
              </w:rPr>
              <w:t>采购项目名称</w:t>
            </w:r>
          </w:p>
        </w:tc>
        <w:tc>
          <w:tcPr>
            <w:tcW w:w="1048" w:type="pct"/>
            <w:shd w:val="clear" w:color="auto" w:fill="C7DAF1"/>
            <w:vAlign w:val="center"/>
          </w:tcPr>
          <w:p>
            <w:pPr>
              <w:jc w:val="center"/>
              <w:rPr>
                <w:b/>
              </w:rPr>
            </w:pPr>
            <w:r>
              <w:rPr>
                <w:rFonts w:hint="eastAsia"/>
                <w:b/>
              </w:rPr>
              <w:t>财政预算限额（元）</w:t>
            </w:r>
          </w:p>
        </w:tc>
      </w:tr>
      <w:tr>
        <w:tblPrEx>
          <w:tblW w:w="4998" w:type="pct"/>
          <w:tblInd w:w="0" w:type="dxa"/>
          <w:tblCellMar>
            <w:top w:w="0" w:type="dxa"/>
            <w:left w:w="108" w:type="dxa"/>
            <w:bottom w:w="0" w:type="dxa"/>
            <w:right w:w="108" w:type="dxa"/>
          </w:tblCellMar>
        </w:tblPrEx>
        <w:trPr>
          <w:trHeight w:val="812"/>
        </w:trPr>
        <w:tc>
          <w:tcPr>
            <w:tcW w:w="469" w:type="pct"/>
            <w:vAlign w:val="center"/>
          </w:tcPr>
          <w:p>
            <w:pPr>
              <w:jc w:val="center"/>
              <w:rPr>
                <w:bCs/>
              </w:rPr>
            </w:pPr>
            <w:r>
              <w:rPr>
                <w:rFonts w:hint="eastAsia"/>
                <w:bCs/>
              </w:rPr>
              <w:t>1</w:t>
            </w:r>
          </w:p>
        </w:tc>
        <w:tc>
          <w:tcPr>
            <w:tcW w:w="1723" w:type="pct"/>
            <w:vAlign w:val="center"/>
          </w:tcPr>
          <w:p>
            <w:pPr>
              <w:jc w:val="center"/>
              <w:rPr>
                <w:rFonts w:ascii="宋体" w:eastAsia="宋体" w:hAnsi="宋体" w:cs="宋体" w:hint="eastAsia"/>
                <w:bCs/>
                <w:color w:val="auto"/>
                <w:sz w:val="28"/>
                <w:szCs w:val="28"/>
                <w:highlight w:val="yellow"/>
                <w:lang w:eastAsia="zh-CN"/>
              </w:rPr>
            </w:pPr>
            <w:r>
              <w:rPr>
                <w:rFonts w:ascii="宋体" w:eastAsia="宋体" w:hAnsi="宋体" w:cs="宋体" w:hint="eastAsia"/>
                <w:color w:val="auto"/>
                <w:sz w:val="28"/>
                <w:szCs w:val="28"/>
              </w:rPr>
              <w:t>PLAN-2024-440303000-132017-05926</w:t>
            </w:r>
          </w:p>
        </w:tc>
        <w:tc>
          <w:tcPr>
            <w:tcW w:w="1758" w:type="pct"/>
            <w:vMerge w:val="restart"/>
            <w:vAlign w:val="center"/>
          </w:tcPr>
          <w:p>
            <w:pPr>
              <w:jc w:val="center"/>
              <w:rPr>
                <w:rFonts w:ascii="宋体" w:eastAsia="宋体" w:hAnsi="宋体" w:cs="宋体" w:hint="eastAsia"/>
                <w:bCs/>
                <w:color w:val="auto"/>
                <w:sz w:val="28"/>
                <w:szCs w:val="28"/>
                <w:highlight w:val="yellow"/>
              </w:rPr>
            </w:pPr>
            <w:r>
              <w:rPr>
                <w:rFonts w:ascii="宋体" w:eastAsia="宋体" w:hAnsi="宋体" w:cs="宋体" w:hint="eastAsia"/>
                <w:bCs/>
                <w:color w:val="auto"/>
                <w:sz w:val="28"/>
                <w:szCs w:val="28"/>
                <w:highlight w:val="yellow"/>
                <w:lang w:val="en-US" w:eastAsia="zh-CN"/>
              </w:rPr>
              <w:t>深圳市翠园文锦中学初中理科实验操作考试考点设备采购</w:t>
            </w:r>
          </w:p>
        </w:tc>
        <w:tc>
          <w:tcPr>
            <w:tcW w:w="1048" w:type="pct"/>
            <w:vAlign w:val="center"/>
          </w:tcPr>
          <w:p>
            <w:pPr>
              <w:jc w:val="center"/>
              <w:rPr>
                <w:rFonts w:ascii="宋体" w:eastAsia="宋体" w:hAnsi="宋体" w:cs="宋体" w:hint="eastAsia"/>
                <w:bCs/>
                <w:color w:val="auto"/>
                <w:sz w:val="28"/>
                <w:szCs w:val="28"/>
                <w:highlight w:val="yellow"/>
              </w:rPr>
            </w:pPr>
            <w:r>
              <w:rPr>
                <w:rFonts w:ascii="宋体" w:eastAsia="宋体" w:hAnsi="宋体" w:cs="宋体" w:hint="eastAsia"/>
                <w:color w:val="auto"/>
                <w:sz w:val="28"/>
                <w:szCs w:val="28"/>
              </w:rPr>
              <w:t>206,969.00</w:t>
            </w:r>
          </w:p>
        </w:tc>
      </w:tr>
      <w:tr>
        <w:tblPrEx>
          <w:tblW w:w="4998" w:type="pct"/>
          <w:tblInd w:w="0" w:type="dxa"/>
          <w:tblCellMar>
            <w:top w:w="0" w:type="dxa"/>
            <w:left w:w="108" w:type="dxa"/>
            <w:bottom w:w="0" w:type="dxa"/>
            <w:right w:w="108" w:type="dxa"/>
          </w:tblCellMar>
        </w:tblPrEx>
        <w:trPr>
          <w:trHeight w:val="812"/>
        </w:trPr>
        <w:tc>
          <w:tcPr>
            <w:tcW w:w="469" w:type="pct"/>
            <w:vAlign w:val="center"/>
          </w:tcPr>
          <w:p>
            <w:pPr>
              <w:jc w:val="center"/>
              <w:rPr>
                <w:rFonts w:eastAsia="宋体" w:hint="eastAsia"/>
                <w:bCs/>
                <w:lang w:val="en-US" w:eastAsia="zh-CN"/>
              </w:rPr>
            </w:pPr>
            <w:r>
              <w:rPr>
                <w:rFonts w:eastAsia="宋体" w:hint="eastAsia"/>
                <w:bCs/>
                <w:lang w:val="en-US" w:eastAsia="zh-CN"/>
              </w:rPr>
              <w:t>2</w:t>
            </w:r>
          </w:p>
        </w:tc>
        <w:tc>
          <w:tcPr>
            <w:tcW w:w="1723" w:type="pct"/>
            <w:vAlign w:val="center"/>
          </w:tcPr>
          <w:p>
            <w:pPr>
              <w:jc w:val="center"/>
              <w:rPr>
                <w:rFonts w:ascii="宋体" w:eastAsia="宋体" w:hAnsi="宋体" w:cs="宋体" w:hint="eastAsia"/>
                <w:bCs/>
                <w:color w:val="auto"/>
                <w:sz w:val="28"/>
                <w:szCs w:val="28"/>
                <w:highlight w:val="yellow"/>
                <w:lang w:val="en-US" w:eastAsia="zh-CN"/>
              </w:rPr>
            </w:pPr>
            <w:r>
              <w:rPr>
                <w:rFonts w:ascii="宋体" w:eastAsia="宋体" w:hAnsi="宋体" w:cs="宋体" w:hint="eastAsia"/>
                <w:color w:val="auto"/>
                <w:sz w:val="28"/>
                <w:szCs w:val="28"/>
              </w:rPr>
              <w:t>PLAN-2024-440303000-132017-05898</w:t>
            </w:r>
          </w:p>
        </w:tc>
        <w:tc>
          <w:tcPr>
            <w:tcW w:w="1758" w:type="pct"/>
            <w:vMerge/>
            <w:vAlign w:val="center"/>
          </w:tcPr>
          <w:p>
            <w:pPr>
              <w:jc w:val="center"/>
              <w:rPr>
                <w:rFonts w:ascii="宋体" w:eastAsia="宋体" w:hAnsi="宋体" w:cs="宋体" w:hint="eastAsia"/>
                <w:bCs/>
                <w:color w:val="auto"/>
                <w:sz w:val="28"/>
                <w:szCs w:val="28"/>
                <w:highlight w:val="yellow"/>
                <w:lang w:val="en-US" w:eastAsia="zh-CN"/>
              </w:rPr>
            </w:pPr>
          </w:p>
        </w:tc>
        <w:tc>
          <w:tcPr>
            <w:tcW w:w="1048" w:type="pct"/>
            <w:vAlign w:val="center"/>
          </w:tcPr>
          <w:p>
            <w:pPr>
              <w:jc w:val="center"/>
              <w:rPr>
                <w:rFonts w:ascii="宋体" w:eastAsia="宋体" w:hAnsi="宋体" w:cs="宋体" w:hint="eastAsia"/>
                <w:bCs/>
                <w:color w:val="auto"/>
                <w:sz w:val="28"/>
                <w:szCs w:val="28"/>
                <w:highlight w:val="yellow"/>
              </w:rPr>
            </w:pPr>
            <w:r>
              <w:rPr>
                <w:rFonts w:ascii="宋体" w:eastAsia="宋体" w:hAnsi="宋体" w:cs="宋体" w:hint="eastAsia"/>
                <w:color w:val="auto"/>
                <w:sz w:val="28"/>
                <w:szCs w:val="28"/>
              </w:rPr>
              <w:t>77,927.00</w:t>
            </w:r>
          </w:p>
        </w:tc>
      </w:tr>
      <w:tr>
        <w:tblPrEx>
          <w:tblW w:w="4998" w:type="pct"/>
          <w:tblInd w:w="0" w:type="dxa"/>
          <w:tblCellMar>
            <w:top w:w="0" w:type="dxa"/>
            <w:left w:w="108" w:type="dxa"/>
            <w:bottom w:w="0" w:type="dxa"/>
            <w:right w:w="108" w:type="dxa"/>
          </w:tblCellMar>
        </w:tblPrEx>
        <w:trPr>
          <w:trHeight w:val="812"/>
        </w:trPr>
        <w:tc>
          <w:tcPr>
            <w:tcW w:w="469" w:type="pct"/>
            <w:vAlign w:val="center"/>
          </w:tcPr>
          <w:p>
            <w:pPr>
              <w:jc w:val="center"/>
              <w:rPr>
                <w:rFonts w:eastAsia="宋体" w:hint="eastAsia"/>
                <w:bCs/>
                <w:lang w:val="en-US" w:eastAsia="zh-CN"/>
              </w:rPr>
            </w:pPr>
            <w:r>
              <w:rPr>
                <w:rFonts w:eastAsia="宋体" w:hint="eastAsia"/>
                <w:bCs/>
                <w:lang w:val="en-US" w:eastAsia="zh-CN"/>
              </w:rPr>
              <w:t>3</w:t>
            </w:r>
          </w:p>
        </w:tc>
        <w:tc>
          <w:tcPr>
            <w:tcW w:w="1723" w:type="pct"/>
            <w:vAlign w:val="center"/>
          </w:tcPr>
          <w:p>
            <w:pPr>
              <w:jc w:val="center"/>
              <w:rPr>
                <w:rFonts w:ascii="宋体" w:eastAsia="宋体" w:hAnsi="宋体" w:cs="宋体" w:hint="eastAsia"/>
                <w:bCs/>
                <w:color w:val="auto"/>
                <w:sz w:val="28"/>
                <w:szCs w:val="28"/>
                <w:highlight w:val="yellow"/>
                <w:lang w:val="en-US" w:eastAsia="zh-CN"/>
              </w:rPr>
            </w:pPr>
            <w:r>
              <w:rPr>
                <w:rFonts w:ascii="宋体" w:eastAsia="宋体" w:hAnsi="宋体" w:cs="宋体" w:hint="eastAsia"/>
                <w:color w:val="auto"/>
                <w:sz w:val="28"/>
                <w:szCs w:val="28"/>
              </w:rPr>
              <w:t>PLAN-2024-440303000-132017-05899</w:t>
            </w:r>
          </w:p>
        </w:tc>
        <w:tc>
          <w:tcPr>
            <w:tcW w:w="1758" w:type="pct"/>
            <w:vMerge/>
            <w:vAlign w:val="center"/>
          </w:tcPr>
          <w:p>
            <w:pPr>
              <w:jc w:val="center"/>
              <w:rPr>
                <w:rFonts w:ascii="宋体" w:eastAsia="宋体" w:hAnsi="宋体" w:cs="宋体" w:hint="eastAsia"/>
                <w:bCs/>
                <w:color w:val="auto"/>
                <w:sz w:val="28"/>
                <w:szCs w:val="28"/>
                <w:highlight w:val="yellow"/>
                <w:lang w:val="en-US" w:eastAsia="zh-CN"/>
              </w:rPr>
            </w:pPr>
          </w:p>
        </w:tc>
        <w:tc>
          <w:tcPr>
            <w:tcW w:w="1048" w:type="pct"/>
            <w:vAlign w:val="center"/>
          </w:tcPr>
          <w:p>
            <w:pPr>
              <w:jc w:val="center"/>
              <w:rPr>
                <w:rFonts w:ascii="宋体" w:eastAsia="宋体" w:hAnsi="宋体" w:cs="宋体" w:hint="eastAsia"/>
                <w:bCs/>
                <w:color w:val="auto"/>
                <w:sz w:val="28"/>
                <w:szCs w:val="28"/>
                <w:highlight w:val="yellow"/>
              </w:rPr>
            </w:pPr>
            <w:r>
              <w:rPr>
                <w:rFonts w:ascii="宋体" w:eastAsia="宋体" w:hAnsi="宋体" w:cs="宋体" w:hint="eastAsia"/>
                <w:color w:val="auto"/>
                <w:sz w:val="28"/>
                <w:szCs w:val="28"/>
              </w:rPr>
              <w:t>1,120,000.00</w:t>
            </w:r>
          </w:p>
        </w:tc>
      </w:tr>
      <w:tr>
        <w:tblPrEx>
          <w:tblW w:w="4998" w:type="pct"/>
          <w:tblInd w:w="0" w:type="dxa"/>
          <w:tblCellMar>
            <w:top w:w="0" w:type="dxa"/>
            <w:left w:w="108" w:type="dxa"/>
            <w:bottom w:w="0" w:type="dxa"/>
            <w:right w:w="108" w:type="dxa"/>
          </w:tblCellMar>
        </w:tblPrEx>
        <w:trPr>
          <w:trHeight w:val="777"/>
        </w:trPr>
        <w:tc>
          <w:tcPr>
            <w:tcW w:w="469" w:type="pct"/>
            <w:vAlign w:val="center"/>
          </w:tcPr>
          <w:p>
            <w:pPr>
              <w:jc w:val="center"/>
              <w:rPr>
                <w:bCs/>
              </w:rPr>
            </w:pPr>
          </w:p>
        </w:tc>
        <w:tc>
          <w:tcPr>
            <w:tcW w:w="1723" w:type="pct"/>
            <w:vAlign w:val="center"/>
          </w:tcPr>
          <w:p>
            <w:pPr>
              <w:jc w:val="center"/>
              <w:rPr>
                <w:rFonts w:eastAsia="宋体"/>
                <w:bCs/>
                <w:highlight w:val="yellow"/>
              </w:rPr>
            </w:pPr>
            <w:r>
              <w:rPr>
                <w:rFonts w:hint="eastAsia"/>
                <w:bCs/>
                <w:highlight w:val="yellow"/>
              </w:rPr>
              <w:t>合计</w:t>
            </w:r>
          </w:p>
        </w:tc>
        <w:tc>
          <w:tcPr>
            <w:tcW w:w="1758" w:type="pct"/>
            <w:vMerge/>
            <w:vAlign w:val="center"/>
          </w:tcPr>
          <w:p>
            <w:pPr>
              <w:jc w:val="center"/>
              <w:rPr>
                <w:bCs/>
                <w:color w:val="FF0000"/>
                <w:highlight w:val="yellow"/>
              </w:rPr>
            </w:pPr>
          </w:p>
        </w:tc>
        <w:tc>
          <w:tcPr>
            <w:tcW w:w="1048" w:type="pct"/>
            <w:vAlign w:val="center"/>
          </w:tcPr>
          <w:p>
            <w:pPr>
              <w:jc w:val="center"/>
              <w:rPr>
                <w:bCs/>
                <w:color w:val="FF0000"/>
                <w:highlight w:val="yellow"/>
              </w:rPr>
            </w:pPr>
            <w:r>
              <w:rPr>
                <w:rFonts w:eastAsia="宋体" w:hint="eastAsia"/>
                <w:bCs/>
                <w:highlight w:val="yellow"/>
                <w:lang w:val="en-US" w:eastAsia="zh-CN"/>
              </w:rPr>
              <w:t>1,404,896</w:t>
            </w:r>
            <w:r>
              <w:rPr>
                <w:rFonts w:hint="eastAsia"/>
                <w:bCs/>
                <w:highlight w:val="yellow"/>
              </w:rPr>
              <w:t>.00</w:t>
            </w:r>
          </w:p>
        </w:tc>
      </w:tr>
    </w:tbl>
    <w:p/>
    <w:p/>
    <w:p>
      <w:pPr>
        <w:pStyle w:val="Heading3"/>
        <w:jc w:val="center"/>
        <w:rPr>
          <w:sz w:val="32"/>
        </w:rPr>
      </w:pPr>
      <w:r>
        <w:rPr>
          <w:rFonts w:hint="eastAsia"/>
          <w:sz w:val="32"/>
        </w:rPr>
        <w:t>二、</w:t>
      </w:r>
      <w:bookmarkStart w:id="31" w:name="_Hlk72073432"/>
      <w:r>
        <w:rPr>
          <w:rFonts w:hint="eastAsia"/>
          <w:sz w:val="32"/>
        </w:rPr>
        <w:t>实质性条款</w:t>
      </w:r>
    </w:p>
    <w:tbl>
      <w:tblPr>
        <w:tblStyle w:val="TableNormal"/>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33"/>
        <w:gridCol w:w="7786"/>
      </w:tblGrid>
      <w:tr>
        <w:tblPrEx>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30" w:type="pct"/>
            <w:shd w:val="clear" w:color="auto" w:fill="C7DAF1"/>
            <w:vAlign w:val="center"/>
          </w:tcPr>
          <w:p>
            <w:pPr>
              <w:adjustRightInd w:val="0"/>
              <w:snapToGrid w:val="0"/>
              <w:spacing w:line="360" w:lineRule="auto"/>
              <w:jc w:val="center"/>
              <w:rPr>
                <w:rFonts w:ascii="宋体" w:hAnsi="宋体"/>
                <w:b/>
                <w:bCs/>
                <w:szCs w:val="21"/>
              </w:rPr>
            </w:pPr>
            <w:r>
              <w:rPr>
                <w:rFonts w:ascii="宋体" w:hAnsi="宋体" w:hint="eastAsia"/>
                <w:b/>
                <w:bCs/>
                <w:szCs w:val="21"/>
              </w:rPr>
              <w:t>序号</w:t>
            </w:r>
          </w:p>
        </w:tc>
        <w:tc>
          <w:tcPr>
            <w:tcW w:w="4569" w:type="pct"/>
            <w:shd w:val="clear" w:color="auto" w:fill="C7DAF1"/>
            <w:vAlign w:val="center"/>
          </w:tcPr>
          <w:p>
            <w:pPr>
              <w:adjustRightInd w:val="0"/>
              <w:snapToGrid w:val="0"/>
              <w:spacing w:line="360" w:lineRule="auto"/>
              <w:jc w:val="center"/>
              <w:rPr>
                <w:rFonts w:ascii="宋体" w:hAnsi="宋体"/>
                <w:b/>
                <w:bCs/>
                <w:szCs w:val="21"/>
              </w:rPr>
            </w:pPr>
            <w:r>
              <w:rPr>
                <w:rFonts w:ascii="宋体" w:hAnsi="宋体" w:hint="eastAsia"/>
                <w:b/>
                <w:bCs/>
                <w:szCs w:val="21"/>
              </w:rPr>
              <w:t>实质性条款具体内容</w:t>
            </w:r>
          </w:p>
        </w:tc>
      </w:tr>
      <w:tr>
        <w:tblPrEx>
          <w:tblW w:w="4998" w:type="pct"/>
          <w:tblInd w:w="0" w:type="dxa"/>
          <w:tblCellMar>
            <w:top w:w="0" w:type="dxa"/>
            <w:left w:w="108" w:type="dxa"/>
            <w:bottom w:w="0" w:type="dxa"/>
            <w:right w:w="108" w:type="dxa"/>
          </w:tblCellMar>
        </w:tblPrEx>
        <w:tc>
          <w:tcPr>
            <w:tcW w:w="430" w:type="pct"/>
          </w:tcPr>
          <w:p>
            <w:pPr>
              <w:adjustRightInd w:val="0"/>
              <w:snapToGrid w:val="0"/>
              <w:spacing w:line="360" w:lineRule="auto"/>
              <w:jc w:val="center"/>
              <w:rPr>
                <w:rFonts w:ascii="宋体" w:hAnsi="宋体"/>
                <w:szCs w:val="21"/>
              </w:rPr>
            </w:pPr>
            <w:r>
              <w:rPr>
                <w:rFonts w:ascii="宋体" w:hAnsi="宋体" w:hint="eastAsia"/>
                <w:szCs w:val="21"/>
              </w:rPr>
              <w:t>1</w:t>
            </w:r>
          </w:p>
        </w:tc>
        <w:tc>
          <w:tcPr>
            <w:tcW w:w="4569" w:type="pct"/>
            <w:vAlign w:val="center"/>
          </w:tcPr>
          <w:p>
            <w:pPr>
              <w:adjustRightInd w:val="0"/>
              <w:snapToGrid w:val="0"/>
              <w:spacing w:line="360" w:lineRule="auto"/>
              <w:jc w:val="center"/>
              <w:rPr>
                <w:rFonts w:hAnsi="宋体"/>
                <w:szCs w:val="21"/>
              </w:rPr>
            </w:pPr>
            <w:r>
              <w:rPr>
                <w:rFonts w:hAnsi="宋体" w:hint="eastAsia"/>
                <w:kern w:val="0"/>
                <w:szCs w:val="21"/>
              </w:rPr>
              <w:t>招标文件《商务要求》的所有内容。</w:t>
            </w:r>
          </w:p>
        </w:tc>
      </w:tr>
      <w:tr>
        <w:tblPrEx>
          <w:tblW w:w="4998" w:type="pct"/>
          <w:tblInd w:w="0" w:type="dxa"/>
          <w:tblCellMar>
            <w:top w:w="0" w:type="dxa"/>
            <w:left w:w="108" w:type="dxa"/>
            <w:bottom w:w="0" w:type="dxa"/>
            <w:right w:w="108" w:type="dxa"/>
          </w:tblCellMar>
        </w:tblPrEx>
        <w:tc>
          <w:tcPr>
            <w:tcW w:w="430" w:type="pct"/>
          </w:tcPr>
          <w:p>
            <w:pPr>
              <w:adjustRightInd w:val="0"/>
              <w:snapToGrid w:val="0"/>
              <w:spacing w:line="360" w:lineRule="auto"/>
              <w:jc w:val="center"/>
              <w:rPr>
                <w:rFonts w:ascii="宋体" w:hAnsi="宋体"/>
                <w:szCs w:val="21"/>
              </w:rPr>
            </w:pPr>
            <w:r>
              <w:rPr>
                <w:rFonts w:ascii="宋体" w:hAnsi="宋体" w:hint="eastAsia"/>
                <w:szCs w:val="21"/>
              </w:rPr>
              <w:t>2</w:t>
            </w:r>
          </w:p>
        </w:tc>
        <w:tc>
          <w:tcPr>
            <w:tcW w:w="4569" w:type="pct"/>
            <w:vAlign w:val="center"/>
          </w:tcPr>
          <w:p>
            <w:pPr>
              <w:adjustRightInd w:val="0"/>
              <w:snapToGrid w:val="0"/>
              <w:spacing w:line="360" w:lineRule="auto"/>
              <w:jc w:val="center"/>
              <w:rPr>
                <w:rFonts w:hAnsi="宋体"/>
                <w:szCs w:val="21"/>
              </w:rPr>
            </w:pPr>
            <w:r>
              <w:rPr>
                <w:rFonts w:hAnsi="宋体" w:hint="eastAsia"/>
                <w:kern w:val="0"/>
                <w:szCs w:val="21"/>
              </w:rPr>
              <w:t>具体技术要求中带“★”要求</w:t>
            </w:r>
          </w:p>
        </w:tc>
      </w:tr>
    </w:tbl>
    <w:p>
      <w:pPr>
        <w:rPr>
          <w:b/>
          <w:bCs/>
          <w:color w:val="FF0000"/>
          <w:sz w:val="22"/>
        </w:rPr>
      </w:pPr>
      <w:r>
        <w:rPr>
          <w:rFonts w:hint="eastAsia"/>
          <w:b/>
          <w:bCs/>
          <w:color w:val="FF0000"/>
          <w:sz w:val="22"/>
        </w:rPr>
        <w:t>注：上表所列内容为不可负偏离条款，负偏离将视为未实质性满足招标文件要求作投标无效处理。</w:t>
      </w:r>
    </w:p>
    <w:p>
      <w:pPr>
        <w:pStyle w:val="Heading3"/>
        <w:jc w:val="center"/>
        <w:rPr>
          <w:sz w:val="28"/>
          <w:szCs w:val="28"/>
        </w:rPr>
      </w:pPr>
      <w:bookmarkEnd w:id="31"/>
      <w:r>
        <w:rPr>
          <w:rFonts w:hint="eastAsia"/>
          <w:sz w:val="28"/>
          <w:szCs w:val="28"/>
          <w:lang w:val="en-US" w:eastAsia="zh-CN"/>
        </w:rPr>
        <w:t>三、</w:t>
      </w:r>
      <w:r>
        <w:rPr>
          <w:rFonts w:hint="eastAsia"/>
          <w:sz w:val="28"/>
          <w:szCs w:val="28"/>
        </w:rPr>
        <w:t>货物清单</w:t>
      </w:r>
    </w:p>
    <w:p>
      <w:pPr>
        <w:rPr>
          <w:rFonts w:ascii="宋体" w:hAnsi="宋体"/>
          <w:b/>
          <w:color w:val="FF0000"/>
          <w:szCs w:val="21"/>
        </w:rPr>
      </w:pPr>
      <w:r>
        <w:rPr>
          <w:rFonts w:ascii="宋体" w:hAnsi="宋体" w:hint="eastAsia"/>
          <w:b/>
          <w:color w:val="FF0000"/>
          <w:szCs w:val="21"/>
        </w:rPr>
        <w:t>（一）货物总清单明细</w:t>
      </w:r>
    </w:p>
    <w:tbl>
      <w:tblPr>
        <w:tblStyle w:val="TableNormal"/>
        <w:tblW w:w="7565" w:type="dxa"/>
        <w:jc w:val="center"/>
        <w:tblBorders>
          <w:top w:val="nil"/>
          <w:left w:val="nil"/>
          <w:bottom w:val="nil"/>
          <w:right w:val="nil"/>
          <w:insideH w:val="nil"/>
          <w:insideV w:val="nil"/>
        </w:tblBorders>
        <w:shd w:val="clear" w:color="auto" w:fill="auto"/>
        <w:tblLayout w:type="fixed"/>
        <w:tblCellMar>
          <w:top w:w="0" w:type="dxa"/>
          <w:left w:w="108" w:type="dxa"/>
          <w:bottom w:w="0" w:type="dxa"/>
          <w:right w:w="108" w:type="dxa"/>
        </w:tblCellMar>
      </w:tblPr>
      <w:tblGrid>
        <w:gridCol w:w="1077"/>
        <w:gridCol w:w="2003"/>
        <w:gridCol w:w="1800"/>
        <w:gridCol w:w="630"/>
        <w:gridCol w:w="720"/>
        <w:gridCol w:w="1335"/>
      </w:tblGrid>
      <w:tr>
        <w:tblPrEx>
          <w:tblW w:w="7565" w:type="dxa"/>
          <w:jc w:val="center"/>
          <w:tblBorders>
            <w:top w:val="nil"/>
            <w:left w:val="nil"/>
            <w:bottom w:val="nil"/>
            <w:right w:val="nil"/>
            <w:insideH w:val="nil"/>
            <w:insideV w:val="nil"/>
          </w:tblBorders>
          <w:shd w:val="clear" w:color="auto" w:fill="auto"/>
          <w:tblLayout w:type="fixed"/>
          <w:tblCellMar>
            <w:top w:w="0" w:type="dxa"/>
            <w:left w:w="108" w:type="dxa"/>
            <w:bottom w:w="0" w:type="dxa"/>
            <w:right w:w="108" w:type="dxa"/>
          </w:tblCellMar>
        </w:tblPrEx>
        <w:trPr>
          <w:trHeight w:val="510"/>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bottom"/>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序号</w:t>
            </w:r>
          </w:p>
        </w:tc>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bottom"/>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采购计划编号</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bottom"/>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货物名称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bottom"/>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数量</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bottom"/>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单位</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bottom"/>
              <w:rPr>
                <w:rFonts w:ascii="宋体" w:eastAsia="宋体" w:hAnsi="宋体" w:cs="宋体" w:hint="eastAsia"/>
                <w:b/>
                <w:bCs/>
                <w:i w:val="0"/>
                <w:iCs w:val="0"/>
                <w:color w:val="FF0000"/>
                <w:sz w:val="21"/>
                <w:szCs w:val="21"/>
                <w:u w:val="none"/>
              </w:rPr>
            </w:pPr>
            <w:r>
              <w:rPr>
                <w:rStyle w:val="font21"/>
                <w:lang w:val="en-US" w:eastAsia="zh-CN"/>
              </w:rPr>
              <w:t>备注</w:t>
            </w:r>
          </w:p>
        </w:tc>
      </w:tr>
      <w:tr>
        <w:tblPrEx>
          <w:tblW w:w="7565" w:type="dxa"/>
          <w:jc w:val="center"/>
          <w:shd w:val="clear" w:color="auto" w:fill="auto"/>
          <w:tblLayout w:type="fixed"/>
          <w:tblCellMar>
            <w:top w:w="0" w:type="dxa"/>
            <w:left w:w="108" w:type="dxa"/>
            <w:bottom w:w="0" w:type="dxa"/>
            <w:right w:w="108" w:type="dxa"/>
          </w:tblCellMar>
        </w:tblPrEx>
        <w:trPr>
          <w:trHeight w:val="285"/>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i w:val="0"/>
                <w:iCs w:val="0"/>
                <w:color w:val="000000"/>
                <w:sz w:val="20"/>
                <w:szCs w:val="20"/>
                <w:u w:val="none"/>
              </w:rPr>
            </w:pPr>
            <w:r>
              <w:rPr>
                <w:rFonts w:ascii="等线" w:eastAsia="等线" w:hAnsi="等线" w:cs="等线" w:hint="eastAsia"/>
                <w:i w:val="0"/>
                <w:iCs w:val="0"/>
                <w:color w:val="000000"/>
                <w:kern w:val="0"/>
                <w:sz w:val="20"/>
                <w:szCs w:val="20"/>
                <w:u w:val="none"/>
                <w:lang w:val="en-US" w:eastAsia="zh-CN"/>
              </w:rPr>
              <w:t>1</w:t>
            </w:r>
          </w:p>
        </w:tc>
        <w:tc>
          <w:tcPr>
            <w:tcW w:w="20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等线" w:eastAsia="等线" w:hAnsi="等线" w:cs="等线" w:hint="eastAsia"/>
                <w:i w:val="0"/>
                <w:iCs w:val="0"/>
                <w:color w:val="000000"/>
                <w:sz w:val="20"/>
                <w:szCs w:val="20"/>
                <w:u w:val="none"/>
              </w:rPr>
            </w:pPr>
            <w:r>
              <w:rPr>
                <w:rFonts w:ascii="等线" w:eastAsia="等线" w:hAnsi="等线" w:cs="等线" w:hint="eastAsia"/>
                <w:i w:val="0"/>
                <w:iCs w:val="0"/>
                <w:color w:val="000000"/>
                <w:kern w:val="0"/>
                <w:sz w:val="20"/>
                <w:szCs w:val="20"/>
                <w:u w:val="none"/>
                <w:lang w:val="en-US" w:eastAsia="zh-CN"/>
              </w:rPr>
              <w:t>一、校级平台及设备</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校级管理平台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套</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480"/>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eastAsia"/>
                <w:i w:val="0"/>
                <w:iCs w:val="0"/>
                <w:color w:val="000000"/>
                <w:sz w:val="20"/>
                <w:szCs w:val="20"/>
                <w:u w:val="none"/>
              </w:rPr>
            </w:pPr>
            <w:r>
              <w:rPr>
                <w:rFonts w:ascii="等线" w:eastAsia="等线" w:hAnsi="等线" w:cs="等线" w:hint="eastAsia"/>
                <w:i w:val="0"/>
                <w:iCs w:val="0"/>
                <w:color w:val="000000"/>
                <w:kern w:val="0"/>
                <w:sz w:val="20"/>
                <w:szCs w:val="20"/>
                <w:u w:val="none"/>
                <w:lang w:val="en-US" w:eastAsia="zh-CN"/>
              </w:rPr>
              <w:t>2</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实验资源库软件</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套</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285"/>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eastAsia"/>
                <w:i w:val="0"/>
                <w:iCs w:val="0"/>
                <w:color w:val="000000"/>
                <w:sz w:val="20"/>
                <w:szCs w:val="20"/>
                <w:u w:val="none"/>
              </w:rPr>
            </w:pPr>
            <w:r>
              <w:rPr>
                <w:rFonts w:ascii="等线" w:eastAsia="等线" w:hAnsi="等线" w:cs="等线" w:hint="eastAsia"/>
                <w:i w:val="0"/>
                <w:iCs w:val="0"/>
                <w:color w:val="000000"/>
                <w:kern w:val="0"/>
                <w:sz w:val="20"/>
                <w:szCs w:val="20"/>
                <w:u w:val="none"/>
                <w:lang w:val="en-US" w:eastAsia="zh-CN"/>
              </w:rPr>
              <w:t>3</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平台对接</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项</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285"/>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eastAsia"/>
                <w:i w:val="0"/>
                <w:iCs w:val="0"/>
                <w:color w:val="000000"/>
                <w:sz w:val="20"/>
                <w:szCs w:val="20"/>
                <w:u w:val="none"/>
              </w:rPr>
            </w:pPr>
            <w:r>
              <w:rPr>
                <w:rFonts w:ascii="等线" w:eastAsia="等线" w:hAnsi="等线" w:cs="等线" w:hint="eastAsia"/>
                <w:i w:val="0"/>
                <w:iCs w:val="0"/>
                <w:color w:val="000000"/>
                <w:kern w:val="0"/>
                <w:sz w:val="20"/>
                <w:szCs w:val="20"/>
                <w:u w:val="none"/>
                <w:lang w:val="en-US" w:eastAsia="zh-CN"/>
              </w:rPr>
              <w:t>4</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考试保障服务</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年</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480"/>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eastAsia"/>
                <w:i w:val="0"/>
                <w:iCs w:val="0"/>
                <w:color w:val="000000"/>
                <w:sz w:val="20"/>
                <w:szCs w:val="20"/>
                <w:u w:val="none"/>
              </w:rPr>
            </w:pPr>
            <w:r>
              <w:rPr>
                <w:rFonts w:ascii="等线" w:eastAsia="等线" w:hAnsi="等线" w:cs="等线" w:hint="eastAsia"/>
                <w:i w:val="0"/>
                <w:iCs w:val="0"/>
                <w:color w:val="000000"/>
                <w:kern w:val="0"/>
                <w:sz w:val="20"/>
                <w:szCs w:val="20"/>
                <w:u w:val="none"/>
                <w:lang w:val="en-US" w:eastAsia="zh-CN"/>
              </w:rPr>
              <w:t>5</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AI教考练小助手</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套</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285"/>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eastAsia"/>
                <w:i w:val="0"/>
                <w:iCs w:val="0"/>
                <w:color w:val="000000"/>
                <w:sz w:val="20"/>
                <w:szCs w:val="20"/>
                <w:u w:val="none"/>
              </w:rPr>
            </w:pPr>
            <w:r>
              <w:rPr>
                <w:rFonts w:ascii="等线" w:eastAsia="等线" w:hAnsi="等线" w:cs="等线" w:hint="eastAsia"/>
                <w:i w:val="0"/>
                <w:iCs w:val="0"/>
                <w:color w:val="000000"/>
                <w:kern w:val="0"/>
                <w:sz w:val="20"/>
                <w:szCs w:val="20"/>
                <w:u w:val="none"/>
                <w:lang w:val="en-US" w:eastAsia="zh-CN"/>
              </w:rPr>
              <w:t>6</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AI算力终端</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台</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421"/>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7</w:t>
            </w:r>
          </w:p>
        </w:tc>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等线" w:eastAsia="等线" w:hAnsi="等线" w:cs="等线" w:hint="eastAsia"/>
                <w:i w:val="0"/>
                <w:iCs w:val="0"/>
                <w:color w:val="000000"/>
                <w:sz w:val="20"/>
                <w:szCs w:val="20"/>
                <w:u w:val="none"/>
              </w:rPr>
            </w:pPr>
            <w:r>
              <w:rPr>
                <w:rFonts w:ascii="等线" w:eastAsia="等线" w:hAnsi="等线" w:cs="等线" w:hint="eastAsia"/>
                <w:i w:val="0"/>
                <w:iCs w:val="0"/>
                <w:color w:val="000000"/>
                <w:kern w:val="0"/>
                <w:sz w:val="20"/>
                <w:szCs w:val="20"/>
                <w:u w:val="none"/>
                <w:lang w:val="en-US" w:eastAsia="zh-CN"/>
              </w:rPr>
              <w:t>二、抽签室</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 xml:space="preserve">考场屏蔽终端 </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套</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285"/>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8</w:t>
            </w:r>
          </w:p>
        </w:tc>
        <w:tc>
          <w:tcPr>
            <w:tcW w:w="20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等线" w:eastAsia="等线" w:hAnsi="等线" w:cs="等线" w:hint="eastAsia"/>
                <w:i w:val="0"/>
                <w:iCs w:val="0"/>
                <w:color w:val="000000"/>
                <w:sz w:val="20"/>
                <w:szCs w:val="20"/>
                <w:u w:val="none"/>
              </w:rPr>
            </w:pPr>
            <w:r>
              <w:rPr>
                <w:rFonts w:ascii="等线" w:eastAsia="等线" w:hAnsi="等线" w:cs="等线" w:hint="eastAsia"/>
                <w:i w:val="0"/>
                <w:iCs w:val="0"/>
                <w:color w:val="000000"/>
                <w:kern w:val="0"/>
                <w:sz w:val="20"/>
                <w:szCs w:val="20"/>
                <w:u w:val="none"/>
                <w:lang w:val="en-US" w:eastAsia="zh-CN"/>
              </w:rPr>
              <w:t>三、理化生考场</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考场监考管理主机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台</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480"/>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9</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实验教学测评监考软件</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套</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720"/>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10</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电子目镜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25</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个</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285"/>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11</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智能实验终端</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75</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套</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480"/>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12</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核心操作垫</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75</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套</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285"/>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eastAsia"/>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13</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学生实验操作平台</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75</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套</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480"/>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14</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 xml:space="preserve">考场屏蔽终端 </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套</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480"/>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15</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机柜</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个</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r>
        <w:tblPrEx>
          <w:tblW w:w="7565" w:type="dxa"/>
          <w:jc w:val="center"/>
          <w:shd w:val="clear" w:color="auto" w:fill="auto"/>
          <w:tblLayout w:type="fixed"/>
          <w:tblCellMar>
            <w:top w:w="0" w:type="dxa"/>
            <w:left w:w="108" w:type="dxa"/>
            <w:bottom w:w="0" w:type="dxa"/>
            <w:right w:w="108" w:type="dxa"/>
          </w:tblCellMar>
        </w:tblPrEx>
        <w:trPr>
          <w:trHeight w:val="285"/>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等线" w:eastAsia="等线" w:hAnsi="等线" w:cs="等线"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16</w:t>
            </w:r>
          </w:p>
        </w:tc>
        <w:tc>
          <w:tcPr>
            <w:tcW w:w="2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等线" w:eastAsia="等线" w:hAnsi="等线" w:cs="等线" w:hint="eastAsia"/>
                <w:i w:val="0"/>
                <w:iCs w:val="0"/>
                <w:color w:val="000000"/>
                <w:sz w:val="20"/>
                <w:szCs w:val="20"/>
                <w:u w:val="none"/>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综合布线</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rPr>
              <w:t>项</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bottom"/>
              <w:rPr>
                <w:rFonts w:ascii="等线" w:eastAsia="等线" w:hAnsi="等线" w:cs="等线" w:hint="eastAsia"/>
                <w:i w:val="0"/>
                <w:iCs w:val="0"/>
                <w:color w:val="000000"/>
                <w:sz w:val="22"/>
                <w:szCs w:val="22"/>
                <w:u w:val="none"/>
                <w:lang w:val="en-US" w:eastAsia="zh-CN" w:bidi="ar-SA"/>
              </w:rPr>
            </w:pPr>
            <w:r>
              <w:rPr>
                <w:rFonts w:ascii="等线" w:eastAsia="等线" w:hAnsi="等线" w:cs="等线" w:hint="eastAsia"/>
                <w:i w:val="0"/>
                <w:iCs w:val="0"/>
                <w:color w:val="000000"/>
                <w:kern w:val="0"/>
                <w:sz w:val="22"/>
                <w:szCs w:val="22"/>
                <w:u w:val="none"/>
                <w:lang w:val="en-US" w:eastAsia="zh-CN"/>
              </w:rPr>
              <w:t>拒绝进口</w:t>
            </w:r>
          </w:p>
        </w:tc>
      </w:tr>
    </w:tbl>
    <w:p>
      <w:pPr>
        <w:ind w:firstLine="480" w:firstLineChars="200"/>
        <w:rPr>
          <w:rFonts w:ascii="宋体" w:eastAsia="宋体" w:hAnsi="宋体" w:cs="宋体"/>
          <w:b/>
          <w:sz w:val="22"/>
          <w:szCs w:val="20"/>
        </w:rPr>
      </w:pPr>
    </w:p>
    <w:p>
      <w:pPr>
        <w:ind w:firstLine="480" w:firstLineChars="200"/>
        <w:rPr>
          <w:rFonts w:ascii="宋体" w:eastAsia="宋体" w:hAnsi="宋体" w:cs="宋体"/>
          <w:b/>
          <w:sz w:val="22"/>
          <w:szCs w:val="20"/>
        </w:rPr>
      </w:pPr>
      <w:r>
        <w:rPr>
          <w:rFonts w:ascii="宋体" w:eastAsia="宋体" w:hAnsi="宋体" w:cs="宋体" w:hint="eastAsia"/>
          <w:b/>
          <w:sz w:val="22"/>
          <w:szCs w:val="20"/>
        </w:rPr>
        <w:t xml:space="preserve">备注：1.备注栏注明“拒绝进口”的产品不接受投标人选用进口产品参与投标；注明“接受进口”的产品允许投标人选用进口产品参与投标，但不排斥国内产品。 </w:t>
      </w:r>
    </w:p>
    <w:p>
      <w:pPr>
        <w:ind w:firstLine="480" w:firstLineChars="200"/>
        <w:rPr>
          <w:rFonts w:ascii="宋体" w:eastAsia="宋体" w:hAnsi="宋体" w:cs="宋体"/>
          <w:b/>
          <w:sz w:val="22"/>
          <w:szCs w:val="20"/>
        </w:rPr>
      </w:pPr>
      <w:r>
        <w:rPr>
          <w:rFonts w:ascii="宋体" w:eastAsia="宋体" w:hAnsi="宋体" w:cs="宋体" w:hint="eastAsia"/>
          <w:b/>
          <w:sz w:val="22"/>
          <w:szCs w:val="20"/>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pPr>
        <w:ind w:firstLine="480" w:firstLineChars="200"/>
        <w:rPr>
          <w:b/>
          <w:bCs/>
          <w:color w:val="FF0000"/>
          <w:sz w:val="22"/>
        </w:rPr>
      </w:pPr>
      <w:r>
        <w:rPr>
          <w:rFonts w:ascii="宋体" w:eastAsia="宋体" w:hAnsi="宋体" w:cs="宋体" w:hint="eastAsia"/>
          <w:b/>
          <w:sz w:val="22"/>
          <w:szCs w:val="20"/>
        </w:rPr>
        <w:t>3、本项目核心产品为：</w:t>
      </w:r>
      <w:r>
        <w:rPr>
          <w:rFonts w:ascii="宋体" w:eastAsia="宋体" w:hAnsi="宋体" w:cs="宋体" w:hint="eastAsia"/>
          <w:b/>
          <w:color w:val="FF0000"/>
          <w:sz w:val="22"/>
          <w:szCs w:val="20"/>
          <w:u w:val="single"/>
        </w:rPr>
        <w:t xml:space="preserve">  </w:t>
      </w:r>
      <w:r>
        <w:rPr>
          <w:rFonts w:ascii="宋体" w:hAnsi="宋体" w:hint="eastAsia"/>
          <w:b/>
          <w:color w:val="FF0000"/>
          <w:szCs w:val="21"/>
          <w:u w:val="single"/>
          <w:lang w:eastAsia="zh-CN"/>
        </w:rPr>
        <w:t>智能实验终端</w:t>
      </w:r>
      <w:r>
        <w:rPr>
          <w:rFonts w:ascii="宋体" w:hAnsi="宋体" w:hint="eastAsia"/>
          <w:b/>
          <w:color w:val="FF0000"/>
          <w:szCs w:val="21"/>
          <w:u w:val="single"/>
        </w:rPr>
        <w:t xml:space="preserve"> </w:t>
      </w:r>
      <w:r>
        <w:rPr>
          <w:rFonts w:ascii="宋体" w:eastAsia="宋体" w:hAnsi="宋体" w:cs="宋体" w:hint="eastAsia"/>
          <w:b/>
          <w:color w:val="FF0000"/>
          <w:sz w:val="22"/>
          <w:szCs w:val="20"/>
          <w:u w:val="single"/>
        </w:rPr>
        <w:t xml:space="preserve">   </w:t>
      </w:r>
      <w:r>
        <w:rPr>
          <w:rFonts w:ascii="宋体" w:eastAsia="宋体" w:hAnsi="宋体" w:cs="宋体" w:hint="eastAsia"/>
          <w:b/>
          <w:sz w:val="22"/>
          <w:szCs w:val="20"/>
        </w:rPr>
        <w:t>。</w:t>
      </w:r>
    </w:p>
    <w:p>
      <w:pPr>
        <w:rPr>
          <w:b/>
          <w:szCs w:val="21"/>
        </w:rPr>
      </w:pPr>
    </w:p>
    <w:p>
      <w:pPr>
        <w:pStyle w:val="Heading3"/>
        <w:jc w:val="center"/>
        <w:rPr>
          <w:sz w:val="32"/>
        </w:rPr>
      </w:pPr>
      <w:r>
        <w:rPr>
          <w:rFonts w:hint="eastAsia"/>
          <w:sz w:val="32"/>
        </w:rPr>
        <w:t>四、技术要求</w:t>
      </w:r>
    </w:p>
    <w:p>
      <w:pPr>
        <w:ind w:firstLine="480" w:firstLineChars="200"/>
        <w:rPr>
          <w:b/>
          <w:szCs w:val="21"/>
        </w:rPr>
      </w:pPr>
      <w:r>
        <w:rPr>
          <w:rFonts w:hint="eastAsia"/>
          <w:b/>
          <w:szCs w:val="21"/>
        </w:rPr>
        <w:t>说明：1、带“</w:t>
      </w:r>
      <w:r>
        <w:rPr>
          <w:rFonts w:ascii="宋体" w:hAnsi="宋体" w:cs="宋体" w:hint="eastAsia"/>
          <w:b/>
          <w:szCs w:val="21"/>
        </w:rPr>
        <w:t>★</w:t>
      </w:r>
      <w:r>
        <w:rPr>
          <w:rFonts w:hint="eastAsia"/>
          <w:b/>
          <w:szCs w:val="21"/>
        </w:rPr>
        <w:t>”指标项为实质性条款，如出现负偏离，将被视为未实质性满足招标文件要求作投标无效处理。带“</w:t>
      </w:r>
      <w:r>
        <w:t>▲</w:t>
      </w:r>
      <w:r>
        <w:rPr>
          <w:rFonts w:hint="eastAsia"/>
          <w:b/>
          <w:szCs w:val="21"/>
        </w:rPr>
        <w:t xml:space="preserve">”指标项为重要参数，负偏离时依相关评分准则内容作重点扣分处理。 </w:t>
      </w:r>
    </w:p>
    <w:p>
      <w:pPr>
        <w:ind w:firstLine="480" w:firstLineChars="200"/>
        <w:rPr>
          <w:b/>
          <w:szCs w:val="21"/>
        </w:rPr>
      </w:pPr>
      <w:r>
        <w:rPr>
          <w:rFonts w:hint="eastAsia"/>
          <w:b/>
          <w:szCs w:val="21"/>
        </w:rPr>
        <w:t>2、招标技术要求中，用红色加粗字体标注的技术条款为要求提供证明资料的条款，共</w:t>
      </w:r>
      <w:r>
        <w:rPr>
          <w:rFonts w:hint="eastAsia"/>
          <w:b/>
          <w:color w:val="FF0000"/>
          <w:szCs w:val="21"/>
          <w:highlight w:val="yellow"/>
          <w:u w:val="single"/>
        </w:rPr>
        <w:t xml:space="preserve"> </w:t>
      </w:r>
      <w:r>
        <w:rPr>
          <w:rFonts w:hint="eastAsia"/>
          <w:b/>
          <w:color w:val="FF0000"/>
          <w:szCs w:val="21"/>
          <w:highlight w:val="yellow"/>
          <w:u w:val="single"/>
          <w:lang w:val="en-US" w:eastAsia="zh-CN"/>
        </w:rPr>
        <w:t>31</w:t>
      </w:r>
      <w:r>
        <w:rPr>
          <w:rFonts w:hint="eastAsia"/>
          <w:b/>
          <w:color w:val="FF0000"/>
          <w:szCs w:val="21"/>
          <w:highlight w:val="yellow"/>
          <w:u w:val="single"/>
        </w:rPr>
        <w:t xml:space="preserve"> </w:t>
      </w:r>
      <w:r>
        <w:rPr>
          <w:rFonts w:hint="eastAsia"/>
          <w:b/>
          <w:color w:val="FF0000"/>
          <w:szCs w:val="21"/>
          <w:highlight w:val="yellow"/>
        </w:rPr>
        <w:t xml:space="preserve">   </w:t>
      </w:r>
      <w:r>
        <w:rPr>
          <w:rFonts w:hint="eastAsia"/>
          <w:b/>
          <w:szCs w:val="21"/>
        </w:rPr>
        <w:t xml:space="preserve"> 项，其余为未要求提供证明资料的条款，无需提供相关证明资料。</w:t>
      </w:r>
    </w:p>
    <w:p>
      <w:pPr>
        <w:ind w:firstLine="480" w:firstLineChars="200"/>
        <w:rPr>
          <w:b/>
          <w:szCs w:val="21"/>
        </w:rPr>
      </w:pPr>
      <w:r>
        <w:rPr>
          <w:rFonts w:hint="eastAsia"/>
          <w:b/>
        </w:rPr>
        <w:t>3、评分时，如对一项招标技术要求（以划分框为准）中的内容存在两处（或以上）负偏离的，在评分时只作一项负偏离扣分。</w:t>
      </w:r>
    </w:p>
    <w:p>
      <w:pPr>
        <w:pStyle w:val="BodyText"/>
      </w:pPr>
    </w:p>
    <w:tbl>
      <w:tblPr>
        <w:tblStyle w:val="TableNormal"/>
        <w:tblW w:w="4994" w:type="pct"/>
        <w:tblInd w:w="0" w:type="dxa"/>
        <w:tblBorders>
          <w:top w:val="nil"/>
          <w:left w:val="nil"/>
          <w:bottom w:val="nil"/>
          <w:right w:val="nil"/>
          <w:insideH w:val="nil"/>
          <w:insideV w:val="nil"/>
        </w:tblBorders>
        <w:tblCellMar>
          <w:top w:w="0" w:type="dxa"/>
          <w:left w:w="108" w:type="dxa"/>
          <w:bottom w:w="0" w:type="dxa"/>
          <w:right w:w="108" w:type="dxa"/>
        </w:tblCellMar>
      </w:tblPr>
      <w:tblGrid>
        <w:gridCol w:w="647"/>
        <w:gridCol w:w="654"/>
        <w:gridCol w:w="654"/>
        <w:gridCol w:w="6557"/>
      </w:tblGrid>
      <w:tr>
        <w:tblPrEx>
          <w:tblW w:w="4994" w:type="pct"/>
          <w:tblInd w:w="0" w:type="dxa"/>
          <w:tblBorders>
            <w:top w:val="nil"/>
            <w:left w:val="nil"/>
            <w:bottom w:val="nil"/>
            <w:right w:val="nil"/>
            <w:insideH w:val="nil"/>
            <w:insideV w:val="nil"/>
          </w:tblBorders>
          <w:tblCellMar>
            <w:top w:w="0" w:type="dxa"/>
            <w:left w:w="108" w:type="dxa"/>
            <w:bottom w:w="0" w:type="dxa"/>
            <w:right w:w="108" w:type="dxa"/>
          </w:tblCellMar>
        </w:tblPrEx>
        <w:trPr>
          <w:trHeight w:val="400"/>
        </w:trPr>
        <w:tc>
          <w:tcPr>
            <w:tcW w:w="380"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序号</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货物名称</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指标项</w:t>
            </w: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招标技术要求</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nil"/>
              <w:left w:val="single" w:sz="4" w:space="0" w:color="000000"/>
              <w:bottom w:val="nil"/>
              <w:right w:val="single" w:sz="4" w:space="0" w:color="000000"/>
            </w:tcBorders>
            <w:shd w:val="clear" w:color="auto" w:fill="auto"/>
            <w:noWrap/>
            <w:vAlign w:val="center"/>
          </w:tcPr>
          <w:p>
            <w:pPr>
              <w:rPr>
                <w:rFonts w:eastAsia="宋体"/>
              </w:rPr>
            </w:pPr>
            <w:r>
              <w:rPr>
                <w:rFonts w:eastAsia="宋体" w:hint="eastAsia"/>
              </w:rPr>
              <w:t>1</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校级管理平台</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1.1.平台总体采用B/S架构，支持分布式部署，保障系统的伸缩性和灵活性；</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1.2.服务端采用JAVA技术开发；</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1.3.</w:t>
            </w:r>
            <w:r>
              <w:rPr>
                <w:rFonts w:hint="eastAsia"/>
              </w:rPr>
              <w:t xml:space="preserve"> </w:t>
            </w:r>
            <w:r>
              <w:rPr>
                <w:rFonts w:eastAsia="宋体" w:hint="eastAsia"/>
              </w:rPr>
              <w:t>能够按照上级平台的对接要求完成系统和数据对接；</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个人中心模块</w:t>
            </w:r>
          </w:p>
          <w:p>
            <w:pPr>
              <w:rPr>
                <w:rFonts w:eastAsia="宋体"/>
              </w:rPr>
            </w:pPr>
            <w:r>
              <w:rPr>
                <w:rFonts w:eastAsia="宋体" w:hint="eastAsia"/>
              </w:rPr>
              <w:t>1.4.</w:t>
            </w:r>
            <w:r>
              <w:rPr>
                <w:rFonts w:hint="eastAsia"/>
              </w:rPr>
              <w:t xml:space="preserve"> </w:t>
            </w:r>
            <w:r>
              <w:rPr>
                <w:rFonts w:eastAsia="宋体" w:hint="eastAsia"/>
              </w:rPr>
              <w:t>个人中心模块，需支持本校科任老师、监考老师与抽签老师的任务显示；方便老师的快捷操作；</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1.5.对于监考老师，需要显示监考老师监考的考试场次列表，监考老师可以直接点击场次进行考试监考；</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rPr>
              <w:t>1.6</w:t>
            </w:r>
            <w:r>
              <w:rPr>
                <w:rFonts w:eastAsia="宋体" w:hint="eastAsia"/>
              </w:rPr>
              <w:t>.对于抽签老师，需要显示抽签老师抽签的场地列表，监考老师可以直接点击场次快捷进入抽签页面；</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系统管理：</w:t>
            </w:r>
          </w:p>
          <w:p>
            <w:pPr>
              <w:rPr>
                <w:rFonts w:eastAsia="宋体"/>
              </w:rPr>
            </w:pPr>
            <w:r>
              <w:rPr>
                <w:rFonts w:eastAsia="宋体" w:hint="eastAsia"/>
              </w:rPr>
              <w:t>1.7.考场管理：支持设置不少于2个考场分组，可以实现单学科多考场情况同时排考，满足考试需求；</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1.8.支持导入用户功能，支持展示用户列表，包含用户</w:t>
            </w:r>
            <w:r>
              <w:rPr>
                <w:rFonts w:eastAsia="宋体"/>
              </w:rPr>
              <w:t>ID</w:t>
            </w:r>
            <w:r>
              <w:rPr>
                <w:rFonts w:eastAsia="宋体" w:hint="eastAsia"/>
              </w:rPr>
              <w:t>、姓名、任课学科、角色等信息；</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1.9.</w:t>
            </w:r>
            <w:r>
              <w:rPr>
                <w:rFonts w:hint="eastAsia"/>
              </w:rPr>
              <w:t xml:space="preserve"> </w:t>
            </w:r>
            <w:r>
              <w:rPr>
                <w:rFonts w:eastAsia="宋体" w:hint="eastAsia"/>
              </w:rPr>
              <w:t>支持修改学校或平台名称；</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设备管理：</w:t>
            </w:r>
          </w:p>
          <w:p>
            <w:pPr>
              <w:rPr>
                <w:rFonts w:eastAsia="宋体"/>
              </w:rPr>
            </w:pPr>
            <w:r>
              <w:rPr>
                <w:rFonts w:eastAsia="宋体"/>
              </w:rPr>
              <w:t>1.</w:t>
            </w:r>
            <w:r>
              <w:rPr>
                <w:rFonts w:eastAsia="宋体" w:hint="eastAsia"/>
              </w:rPr>
              <w:t>10、支持批量查看所有学生终端的使用状态，至少包括设备</w:t>
            </w:r>
            <w:r>
              <w:rPr>
                <w:rFonts w:eastAsia="宋体"/>
              </w:rPr>
              <w:t>ID</w:t>
            </w:r>
            <w:r>
              <w:rPr>
                <w:rFonts w:eastAsia="宋体" w:hint="eastAsia"/>
              </w:rPr>
              <w:t>、设备名称、设备所在教室、设备所在的桌号、</w:t>
            </w:r>
            <w:r>
              <w:rPr>
                <w:rFonts w:eastAsia="宋体"/>
              </w:rPr>
              <w:t>APK</w:t>
            </w:r>
            <w:r>
              <w:rPr>
                <w:rFonts w:eastAsia="宋体" w:hint="eastAsia"/>
              </w:rPr>
              <w:t>版本、摄像头</w:t>
            </w:r>
            <w:r>
              <w:rPr>
                <w:rFonts w:eastAsia="宋体"/>
              </w:rPr>
              <w:t>IP</w:t>
            </w:r>
            <w:r>
              <w:rPr>
                <w:rFonts w:eastAsia="宋体" w:hint="eastAsia"/>
              </w:rPr>
              <w:t>和设备</w:t>
            </w:r>
            <w:r>
              <w:rPr>
                <w:rFonts w:eastAsia="宋体"/>
              </w:rPr>
              <w:t>IP</w:t>
            </w:r>
            <w:r>
              <w:rPr>
                <w:rFonts w:eastAsia="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1.11.▲平台能够主动识别未绑定设备的</w:t>
            </w:r>
            <w:r>
              <w:rPr>
                <w:rFonts w:eastAsia="宋体"/>
              </w:rPr>
              <w:t>ID</w:t>
            </w:r>
            <w:r>
              <w:rPr>
                <w:rFonts w:eastAsia="宋体" w:hint="eastAsia"/>
              </w:rPr>
              <w:t>，便于用户快速绑定设备；设备的相关信息能够自动在平台中显示；支持修改摄像头的相关参数，至少包括</w:t>
            </w:r>
            <w:r>
              <w:rPr>
                <w:rFonts w:eastAsia="宋体"/>
              </w:rPr>
              <w:t>IP</w:t>
            </w:r>
            <w:r>
              <w:rPr>
                <w:rFonts w:eastAsia="宋体" w:hint="eastAsia"/>
              </w:rPr>
              <w:t>、码率、分辨率、切片时长等（投标时提供所投产品或所提供产品系列满足该技术要求的具有</w:t>
            </w:r>
            <w:r>
              <w:rPr>
                <w:rFonts w:eastAsia="宋体"/>
              </w:rPr>
              <w:t>CNAS</w:t>
            </w:r>
            <w:r>
              <w:rPr>
                <w:rFonts w:eastAsia="宋体" w:hint="eastAsia"/>
              </w:rPr>
              <w:t>和</w:t>
            </w:r>
            <w:r>
              <w:rPr>
                <w:rFonts w:eastAsia="宋体"/>
              </w:rPr>
              <w:t>CMA</w:t>
            </w:r>
            <w:r>
              <w:rPr>
                <w:rFonts w:eastAsia="宋体" w:hint="eastAsia"/>
              </w:rPr>
              <w:t>标识的检测报告或检验报告，原件备查）</w:t>
            </w:r>
            <w:r>
              <w:rPr>
                <w:rFonts w:eastAsia="宋体" w:hint="eastAsia"/>
                <w:lang w:eastAsia="zh-CN"/>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rPr>
              <w:t>1.1</w:t>
            </w:r>
            <w:r>
              <w:rPr>
                <w:rFonts w:eastAsia="宋体" w:hint="eastAsia"/>
              </w:rPr>
              <w:t>2.支持平台对于绑定的设备进行</w:t>
            </w:r>
            <w:r>
              <w:rPr>
                <w:rFonts w:eastAsia="宋体"/>
              </w:rPr>
              <w:t>APK</w:t>
            </w:r>
            <w:r>
              <w:rPr>
                <w:rFonts w:eastAsia="宋体" w:hint="eastAsia"/>
              </w:rPr>
              <w:t>版本的自动升级；</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考试题库管理：</w:t>
            </w:r>
          </w:p>
          <w:p>
            <w:pPr>
              <w:rPr>
                <w:rFonts w:eastAsia="宋体"/>
              </w:rPr>
            </w:pPr>
            <w:r>
              <w:rPr>
                <w:rFonts w:eastAsia="宋体"/>
              </w:rPr>
              <w:t>1.1</w:t>
            </w:r>
            <w:r>
              <w:rPr>
                <w:rFonts w:eastAsia="宋体" w:hint="eastAsia"/>
              </w:rPr>
              <w:t>3.支持录入测评的试题，试题的属性至少包括：考题名称、考题内容、答题卡问题和评分点；</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rPr>
              <w:t>1.1</w:t>
            </w:r>
            <w:r>
              <w:rPr>
                <w:rFonts w:eastAsia="宋体" w:hint="eastAsia"/>
              </w:rPr>
              <w:t>4.答题卡的问题支持多种问题形式，至少包括：填空、单选、多选、判断和表格题；支持通过设置行列数自动生成表格，支持在生成表格中填写内容，表格未填写内容的部分为学生答题需填写的部分；</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rPr>
              <w:t>1.1</w:t>
            </w:r>
            <w:r>
              <w:rPr>
                <w:rFonts w:eastAsia="宋体" w:hint="eastAsia"/>
              </w:rPr>
              <w:t>5.支持不同科目的试题组合，以实现物化同考；</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考务管理：</w:t>
            </w:r>
          </w:p>
          <w:p>
            <w:pPr>
              <w:rPr>
                <w:rFonts w:eastAsia="宋体"/>
              </w:rPr>
            </w:pPr>
            <w:r>
              <w:rPr>
                <w:rFonts w:eastAsia="宋体"/>
              </w:rPr>
              <w:t>1.1</w:t>
            </w:r>
            <w:r>
              <w:rPr>
                <w:rFonts w:eastAsia="宋体" w:hint="eastAsia"/>
              </w:rPr>
              <w:t>6.支持对于考务信息的录入，考务信息至少包括：考务名称、考试范围、考试年级、考试的学科、考试时间和考试人数，其中考试年级和考试学科支持多选；</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rPr>
              <w:t>1.1</w:t>
            </w:r>
            <w:r>
              <w:rPr>
                <w:rFonts w:eastAsia="宋体" w:hint="eastAsia"/>
              </w:rPr>
              <w:t>7.系统支持智能排题功能，根据考题数量、座位数量及座位布局方式进行智能排题，确保相邻座位的题目不相同，防止作弊；</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考试计划管理：</w:t>
            </w:r>
          </w:p>
          <w:p>
            <w:pPr>
              <w:rPr>
                <w:rFonts w:eastAsia="宋体"/>
              </w:rPr>
            </w:pPr>
            <w:r>
              <w:rPr>
                <w:rFonts w:eastAsia="宋体"/>
              </w:rPr>
              <w:t>1.1</w:t>
            </w:r>
            <w:r>
              <w:rPr>
                <w:rFonts w:eastAsia="宋体" w:hint="eastAsia"/>
              </w:rPr>
              <w:t>8.基于上级下达的考务安排，系统能够基于考务安排进行考试计划的安排；计划的要素至少包括：考试日期、考试时间、监考老师、抽签老师、考场和具体的考生；支持按照考务名称、计划名称进行考试计划的查询；</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rPr>
              <w:t>1.</w:t>
            </w:r>
            <w:r>
              <w:rPr>
                <w:rFonts w:eastAsia="宋体" w:hint="eastAsia"/>
              </w:rPr>
              <w:t>19.支持通过设置考试开始时间、考试时长、考试间隔和考试人数，系统自动生成考试的具体场次；</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抽签管理：</w:t>
            </w:r>
          </w:p>
          <w:p>
            <w:pPr>
              <w:rPr>
                <w:rFonts w:eastAsia="宋体"/>
              </w:rPr>
            </w:pPr>
            <w:r>
              <w:rPr>
                <w:rFonts w:eastAsia="宋体"/>
              </w:rPr>
              <w:t>1.2</w:t>
            </w:r>
            <w:r>
              <w:rPr>
                <w:rFonts w:eastAsia="宋体" w:hint="eastAsia"/>
              </w:rPr>
              <w:t>0.支持现场对考生进行随机抽签，实现考生、考题、座位随机分配，抽签结果在大屏幕上显示；</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监考管理：</w:t>
            </w:r>
          </w:p>
          <w:p>
            <w:pPr>
              <w:rPr>
                <w:rFonts w:eastAsia="宋体"/>
              </w:rPr>
            </w:pPr>
            <w:r>
              <w:rPr>
                <w:rFonts w:eastAsia="宋体"/>
              </w:rPr>
              <w:t>1.2</w:t>
            </w:r>
            <w:r>
              <w:rPr>
                <w:rFonts w:eastAsia="宋体" w:hint="eastAsia"/>
              </w:rPr>
              <w:t>1.支持考试设备的状态实时监控，支持画面自检和异常提醒，当考试设备出现异常时，在学生端和监考</w:t>
            </w:r>
            <w:r>
              <w:rPr>
                <w:rFonts w:eastAsia="宋体" w:hint="eastAsia"/>
                <w:lang w:eastAsia="zh-CN"/>
              </w:rPr>
              <w:t>端</w:t>
            </w:r>
            <w:r>
              <w:rPr>
                <w:rFonts w:eastAsia="宋体" w:hint="eastAsia"/>
              </w:rPr>
              <w:t>均</w:t>
            </w:r>
            <w:r>
              <w:rPr>
                <w:rFonts w:eastAsia="宋体" w:hint="eastAsia"/>
                <w:lang w:eastAsia="zh-CN"/>
              </w:rPr>
              <w:t>以</w:t>
            </w:r>
            <w:r>
              <w:rPr>
                <w:rFonts w:eastAsia="宋体" w:hint="eastAsia"/>
              </w:rPr>
              <w:t>醒目方式提醒监控老师和考生；监控信息包括网络状态、存储状态、侧视摄像头状态、顶视摄像头状态等；</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rPr>
              <w:t>1.2</w:t>
            </w:r>
            <w:r>
              <w:rPr>
                <w:rFonts w:eastAsia="宋体" w:hint="eastAsia"/>
              </w:rPr>
              <w:t>2.故障应急：</w:t>
            </w:r>
          </w:p>
          <w:p>
            <w:pPr>
              <w:rPr>
                <w:rFonts w:eastAsia="宋体"/>
              </w:rPr>
            </w:pPr>
            <w:r>
              <w:rPr>
                <w:rFonts w:eastAsia="宋体" w:hint="eastAsia"/>
              </w:rPr>
              <w:t>支持快速备换：当设备发生故障时，仅需改动座位号即可快速替换设备，其他配置无需改动，考生可快速更换设备进行考试；</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rPr>
              <w:t>1.2</w:t>
            </w:r>
            <w:r>
              <w:rPr>
                <w:rFonts w:eastAsia="宋体" w:hint="eastAsia"/>
              </w:rPr>
              <w:t>3.统计分析：</w:t>
            </w:r>
          </w:p>
          <w:p>
            <w:pPr>
              <w:rPr>
                <w:rFonts w:eastAsia="宋体"/>
              </w:rPr>
            </w:pPr>
            <w:r>
              <w:rPr>
                <w:rFonts w:eastAsia="宋体" w:hint="eastAsia"/>
              </w:rPr>
              <w:t>支持考务数据统计，可查看每次考务的数据统计，包括报考人数、考场数量、考试进度、阅卷进度、待仲裁份数、各分段人数统计、历史同类考试平均分变化趋势、阅卷老师均分统计等；</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阅卷评分：</w:t>
            </w:r>
          </w:p>
          <w:p>
            <w:pPr>
              <w:rPr>
                <w:rFonts w:eastAsia="宋体"/>
              </w:rPr>
            </w:pPr>
            <w:r>
              <w:rPr>
                <w:rFonts w:eastAsia="宋体"/>
              </w:rPr>
              <w:t>1.2</w:t>
            </w:r>
            <w:r>
              <w:rPr>
                <w:rFonts w:eastAsia="宋体" w:hint="eastAsia"/>
              </w:rPr>
              <w:t>4.系统支持阅卷老师阅卷评分功能；支持考试录像的多种回放速率（</w:t>
            </w:r>
            <w:r>
              <w:rPr>
                <w:rFonts w:eastAsia="宋体"/>
              </w:rPr>
              <w:t>0.5-8</w:t>
            </w:r>
            <w:r>
              <w:rPr>
                <w:rFonts w:eastAsia="宋体" w:hint="eastAsia"/>
              </w:rPr>
              <w:t>）和定格功能，支持评分问题上报，一键满分功能；</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1.2</w:t>
            </w:r>
            <w:r>
              <w:rPr>
                <w:rFonts w:eastAsiaTheme="minorEastAsia" w:hint="eastAsia"/>
              </w:rPr>
              <w:t>5.</w:t>
            </w:r>
            <w:r>
              <w:t>▲</w:t>
            </w:r>
            <w:r>
              <w:rPr>
                <w:rFonts w:eastAsia="宋体" w:hint="eastAsia"/>
              </w:rPr>
              <w:t>系统支持显示双路视频画面，支持切换视频摄像头机位，支持双击放大查看单路视频画面，支持双路视频同步时间查看；（投标时提供所投产品或所提供产品系列满足该技术要求的具有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1.2</w:t>
            </w:r>
            <w:r>
              <w:rPr>
                <w:rFonts w:eastAsiaTheme="minorEastAsia" w:hint="eastAsia"/>
              </w:rPr>
              <w:t>6.</w:t>
            </w:r>
            <w:r>
              <w:rPr>
                <w:rFonts w:ascii="宋体" w:eastAsia="宋体" w:hAnsi="宋体" w:cs="宋体" w:hint="eastAsia"/>
              </w:rPr>
              <w:t>支持显示评分标准及考生答题卡，可点击查看学生答案；</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1.2</w:t>
            </w:r>
            <w:r>
              <w:rPr>
                <w:rFonts w:eastAsiaTheme="minorEastAsia" w:hint="eastAsia"/>
              </w:rPr>
              <w:t>7.</w:t>
            </w:r>
            <w:r>
              <w:rPr>
                <w:rFonts w:ascii="宋体" w:eastAsia="宋体" w:hAnsi="宋体" w:cs="宋体" w:hint="eastAsia"/>
              </w:rPr>
              <w:t>系统支持对试卷进行抽检，系统将随机抽检考生视频；</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28.</w:t>
            </w:r>
            <w:r>
              <w:rPr>
                <w:rFonts w:ascii="宋体" w:eastAsia="宋体" w:hAnsi="宋体" w:cs="宋体" w:hint="eastAsia"/>
              </w:rPr>
              <w:t>系统支持单评或多评模式，多评模式下显示各阅卷老师评分详情，如考生多个评分分差超过设置的阈值，可提交仲裁，由阅卷组长进行重新阅卷处理；</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29.</w:t>
            </w:r>
            <w:r>
              <w:t>▲</w:t>
            </w:r>
            <w:r>
              <w:rPr>
                <w:rFonts w:eastAsia="宋体" w:hint="eastAsia"/>
              </w:rPr>
              <w:t>提供理化生教学类计算机软件著作权登记证书；</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30.</w:t>
            </w:r>
            <w:r>
              <w:rPr>
                <w:rFonts w:eastAsia="宋体" w:hint="eastAsia"/>
              </w:rPr>
              <w:t>支持显示评分标准及考生答题卡，可点击查看学生答案；</w:t>
            </w:r>
          </w:p>
        </w:tc>
      </w:tr>
      <w:tr>
        <w:tblPrEx>
          <w:tblW w:w="4994" w:type="pct"/>
          <w:tblInd w:w="0" w:type="dxa"/>
          <w:tblCellMar>
            <w:top w:w="0" w:type="dxa"/>
            <w:left w:w="108" w:type="dxa"/>
            <w:bottom w:w="0" w:type="dxa"/>
            <w:right w:w="108" w:type="dxa"/>
          </w:tblCellMar>
        </w:tblPrEx>
        <w:trPr>
          <w:trHeight w:val="400"/>
        </w:trPr>
        <w:tc>
          <w:tcPr>
            <w:tcW w:w="380" w:type="pct"/>
            <w:vMerge/>
            <w:tcBorders>
              <w:top w:val="nil"/>
              <w:left w:val="single" w:sz="4" w:space="0" w:color="000000"/>
              <w:bottom w:val="nil"/>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1.31.▲支持监控老师登陆平台进行现场监考，实时监控各考位的设备状态和考生状态，支持同屏显示该考场所有考位状态，不同状态用不同颜色标识；支持对异常的考桌进行记录，给出常见的异常原因分类，至少包括：学生缺考、设备故障、实验仪器故障、系统异常、违纪</w:t>
            </w:r>
            <w:r>
              <w:rPr>
                <w:rFonts w:eastAsia="宋体" w:hint="eastAsia"/>
                <w:lang w:eastAsia="zh-CN"/>
              </w:rPr>
              <w:t>及其他</w:t>
            </w:r>
            <w:r>
              <w:rPr>
                <w:rFonts w:eastAsia="宋体" w:hint="eastAsia"/>
              </w:rPr>
              <w:t>；平台支持考试设备进行实时的考试视频上传，考生结束考试后，平台能够在</w:t>
            </w:r>
            <w:r>
              <w:rPr>
                <w:rFonts w:eastAsia="宋体"/>
              </w:rPr>
              <w:t>5</w:t>
            </w:r>
            <w:r>
              <w:rPr>
                <w:rFonts w:eastAsia="宋体" w:hint="eastAsia"/>
              </w:rPr>
              <w:t>秒内接收到完整考试视频（投标时提供所投产品或所提供产品系列满足该技术要求的具有</w:t>
            </w:r>
            <w:r>
              <w:rPr>
                <w:rFonts w:eastAsia="宋体"/>
              </w:rPr>
              <w:t>CNAS</w:t>
            </w:r>
            <w:r>
              <w:rPr>
                <w:rFonts w:eastAsia="宋体" w:hint="eastAsia"/>
              </w:rPr>
              <w:t>和</w:t>
            </w:r>
            <w:r>
              <w:rPr>
                <w:rFonts w:eastAsia="宋体"/>
              </w:rP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2</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实验资源库软件</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基础要求：</w:t>
            </w:r>
          </w:p>
          <w:p>
            <w:pPr>
              <w:rPr>
                <w:rFonts w:eastAsia="宋体"/>
              </w:rPr>
            </w:pPr>
            <w:r>
              <w:rPr>
                <w:rFonts w:eastAsia="宋体"/>
              </w:rPr>
              <w:t>2.1</w:t>
            </w:r>
            <w:r>
              <w:rPr>
                <w:rFonts w:eastAsia="宋体" w:hint="eastAsia"/>
              </w:rPr>
              <w:t>.系统应采用</w:t>
            </w:r>
            <w:r>
              <w:rPr>
                <w:rFonts w:eastAsia="宋体"/>
              </w:rPr>
              <w:t>B/S</w:t>
            </w:r>
            <w:r>
              <w:rPr>
                <w:rFonts w:eastAsia="宋体" w:hint="eastAsia"/>
              </w:rPr>
              <w:t>架构部署；支持采用常用浏览器访问，支持包含</w:t>
            </w:r>
            <w:r>
              <w:rPr>
                <w:rFonts w:eastAsia="宋体"/>
              </w:rPr>
              <w:t>Microsoft Edge</w:t>
            </w:r>
            <w:r>
              <w:rPr>
                <w:rFonts w:eastAsia="宋体" w:hint="eastAsia"/>
              </w:rPr>
              <w:t>、</w:t>
            </w:r>
            <w:r>
              <w:rPr>
                <w:rFonts w:eastAsia="宋体"/>
              </w:rPr>
              <w:t>Chrome</w:t>
            </w:r>
            <w:r>
              <w:rPr>
                <w:rFonts w:eastAsia="宋体" w:hint="eastAsia"/>
              </w:rPr>
              <w:t>等浏览器访问系统；</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个人中心模块：</w:t>
            </w:r>
          </w:p>
          <w:p>
            <w:pPr>
              <w:rPr>
                <w:rFonts w:eastAsia="宋体"/>
              </w:rPr>
            </w:pPr>
            <w:r>
              <w:rPr>
                <w:rFonts w:eastAsia="宋体"/>
              </w:rPr>
              <w:t>2.2</w:t>
            </w:r>
            <w:r>
              <w:rPr>
                <w:rFonts w:eastAsia="宋体" w:hint="eastAsia"/>
              </w:rPr>
              <w:t>.本校科任老师可以直接进入自己相关的课程进行上课或者结束进行中的课程；</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教室管理：</w:t>
            </w:r>
          </w:p>
          <w:p>
            <w:pPr>
              <w:rPr>
                <w:rFonts w:eastAsia="宋体"/>
              </w:rPr>
            </w:pPr>
            <w:r>
              <w:rPr>
                <w:rFonts w:eastAsia="宋体"/>
              </w:rPr>
              <w:t>2.3</w:t>
            </w:r>
            <w:r>
              <w:rPr>
                <w:rFonts w:eastAsia="宋体" w:hint="eastAsia"/>
              </w:rPr>
              <w:t>.支持教室的可视化管理，支持教室新增，新增的教室属性至少包括教室名称、教室位置、默认的教室模式、教室的座位分布；</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2.4</w:t>
            </w:r>
            <w:r>
              <w:rPr>
                <w:rFonts w:ascii="宋体" w:eastAsia="宋体" w:hAnsi="宋体" w:cs="宋体" w:hint="eastAsia"/>
              </w:rPr>
              <w:t>.新建教室时座位分布可以通过指定行数与列数，系统自动给出座位分布；</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2.5</w:t>
            </w:r>
            <w:r>
              <w:rPr>
                <w:rFonts w:eastAsia="宋体" w:hint="eastAsia"/>
              </w:rPr>
              <w:t>.支持将设备与具体座位绑定，绑定时如果一个设备已经被绑定到座位上，则该设备不应该出现在选择列表中，避免一台设备绑定到多个座位上；</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2.6</w:t>
            </w:r>
            <w:r>
              <w:rPr>
                <w:rFonts w:eastAsia="宋体" w:hint="eastAsia"/>
              </w:rPr>
              <w:t>.支持修改教室的模式：测评模式、教学模式和自学模式；</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r>
              <w:rPr>
                <w:rFonts w:eastAsia="宋体" w:hint="eastAsia"/>
              </w:rPr>
              <w:t>学校管理：</w:t>
            </w:r>
          </w:p>
          <w:p>
            <w:pPr>
              <w:rPr>
                <w:rFonts w:eastAsia="宋体"/>
              </w:rPr>
            </w:pPr>
            <w:r>
              <w:t>2.7</w:t>
            </w:r>
            <w:r>
              <w:rPr>
                <w:rFonts w:eastAsia="宋体" w:hint="eastAsia"/>
              </w:rPr>
              <w:t>.系统支持学生管理，支持单个或批量导入学生信息，录入的学生信息至少包括：姓名、性别、身份证号、学号、学届与班级，支持学生信息的更新、删除、编辑、查询等操作；</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2.8</w:t>
            </w:r>
            <w:r>
              <w:rPr>
                <w:rFonts w:eastAsia="宋体" w:hint="eastAsia"/>
              </w:rPr>
              <w:t>.支持新增本校老师，新增的老师属性至少包括：姓名、账号名、角色、学科背景和状态，对于新增的老师，系统自动以账号名创建老师的系统账号，并提示出老师的默认</w:t>
            </w:r>
            <w:r>
              <w:rPr>
                <w:rFonts w:eastAsia="宋体" w:hint="eastAsia"/>
                <w:lang w:eastAsia="zh-CN"/>
              </w:rPr>
              <w:t>登录密码</w:t>
            </w:r>
            <w:r>
              <w:rPr>
                <w:rFonts w:eastAsia="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2.9</w:t>
            </w:r>
            <w:r>
              <w:rPr>
                <w:rFonts w:eastAsia="宋体" w:hint="eastAsia"/>
              </w:rPr>
              <w:t>.对于老师第一次使用默认</w:t>
            </w:r>
            <w:r>
              <w:rPr>
                <w:rFonts w:eastAsia="宋体" w:hint="eastAsia"/>
                <w:lang w:eastAsia="zh-CN"/>
              </w:rPr>
              <w:t>登录密码登录系统后</w:t>
            </w:r>
            <w:r>
              <w:rPr>
                <w:rFonts w:eastAsia="宋体" w:hint="eastAsia"/>
              </w:rPr>
              <w:t>，系统必须强制老师进行密码的修改；</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2.10</w:t>
            </w:r>
            <w:r>
              <w:rPr>
                <w:rFonts w:eastAsia="宋体" w:hint="eastAsia"/>
              </w:rPr>
              <w:t>.系统支持对学年、学届、班级进行统一管理，可进行新增、删除、修改、查询等操作，支持年级配置操作；</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2.11</w:t>
            </w:r>
            <w:r>
              <w:rPr>
                <w:rFonts w:eastAsia="宋体" w:hint="eastAsia"/>
              </w:rPr>
              <w:t>.支持修改学校或平台名称；</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设备管理：</w:t>
            </w:r>
          </w:p>
          <w:p>
            <w:pPr>
              <w:rPr>
                <w:rFonts w:eastAsia="宋体"/>
              </w:rPr>
            </w:pPr>
            <w:r>
              <w:rPr>
                <w:rFonts w:eastAsia="宋体"/>
              </w:rPr>
              <w:t>2.12</w:t>
            </w:r>
            <w:r>
              <w:rPr>
                <w:rFonts w:eastAsia="宋体" w:hint="eastAsia"/>
              </w:rPr>
              <w:t>.支持批量查看所有学生终端的使用状态，至少包括设备</w:t>
            </w:r>
            <w:r>
              <w:rPr>
                <w:rFonts w:eastAsia="宋体"/>
              </w:rPr>
              <w:t>ID</w:t>
            </w:r>
            <w:r>
              <w:rPr>
                <w:rFonts w:eastAsia="宋体" w:hint="eastAsia"/>
              </w:rPr>
              <w:t>、设备名称、设备所在教室、设备所在的桌号、</w:t>
            </w:r>
            <w:r>
              <w:rPr>
                <w:rFonts w:eastAsia="宋体"/>
              </w:rPr>
              <w:t>APK</w:t>
            </w:r>
            <w:r>
              <w:rPr>
                <w:rFonts w:eastAsia="宋体" w:hint="eastAsia"/>
              </w:rPr>
              <w:t>版本、摄像头</w:t>
            </w:r>
            <w:r>
              <w:rPr>
                <w:rFonts w:eastAsia="宋体"/>
              </w:rPr>
              <w:t>IP</w:t>
            </w:r>
            <w:r>
              <w:rPr>
                <w:rFonts w:eastAsia="宋体" w:hint="eastAsia"/>
              </w:rPr>
              <w:t>和设备</w:t>
            </w:r>
            <w:r>
              <w:rPr>
                <w:rFonts w:eastAsia="宋体"/>
              </w:rPr>
              <w:t>IP</w:t>
            </w:r>
            <w:r>
              <w:rPr>
                <w:rFonts w:eastAsia="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实验课程管理：</w:t>
            </w:r>
          </w:p>
          <w:p>
            <w:pPr>
              <w:rPr>
                <w:rFonts w:eastAsia="宋体"/>
              </w:rPr>
            </w:pPr>
            <w:r>
              <w:rPr>
                <w:rFonts w:eastAsia="宋体"/>
              </w:rPr>
              <w:t>2.13</w:t>
            </w:r>
            <w:r>
              <w:rPr>
                <w:rFonts w:eastAsia="宋体" w:hint="eastAsia"/>
              </w:rPr>
              <w:t>.支持</w:t>
            </w:r>
            <w:r>
              <w:rPr>
                <w:rFonts w:eastAsia="宋体" w:hint="eastAsia"/>
                <w:lang w:eastAsia="zh-CN"/>
              </w:rPr>
              <w:t>教</w:t>
            </w:r>
            <w:r>
              <w:rPr>
                <w:rFonts w:eastAsia="宋体" w:hint="eastAsia"/>
                <w:lang w:val="en-US" w:eastAsia="zh-CN"/>
              </w:rPr>
              <w:t>室</w:t>
            </w:r>
            <w:r>
              <w:rPr>
                <w:rFonts w:eastAsia="宋体" w:hint="eastAsia"/>
              </w:rPr>
              <w:t>根据需要自定义实验课程，课程内容属性至少包括：实验名称、实验科目、实验内容、问题、考察点和实验器材；</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rPr>
              <w:t>2.14</w:t>
            </w:r>
            <w:r>
              <w:rPr>
                <w:rFonts w:eastAsia="宋体" w:hint="eastAsia"/>
              </w:rPr>
              <w:t>.</w:t>
            </w:r>
            <w:r>
              <w:rPr>
                <w:rFonts w:eastAsia="宋体" w:hint="eastAsia"/>
                <w:lang w:eastAsia="zh-CN"/>
              </w:rPr>
              <w:t>问题的</w:t>
            </w:r>
            <w:r>
              <w:rPr>
                <w:rFonts w:eastAsia="宋体" w:hint="eastAsia"/>
              </w:rPr>
              <w:t>自定义支持单选、多选、填空和判断，方便老师灵活自定义实验的问题；</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实验课表管理：</w:t>
            </w:r>
          </w:p>
          <w:p>
            <w:pPr>
              <w:rPr>
                <w:rFonts w:eastAsia="宋体"/>
              </w:rPr>
            </w:pPr>
            <w:r>
              <w:rPr>
                <w:rFonts w:eastAsia="宋体"/>
              </w:rPr>
              <w:t>2.15</w:t>
            </w:r>
            <w:r>
              <w:rPr>
                <w:rFonts w:eastAsia="宋体" w:hint="eastAsia"/>
              </w:rPr>
              <w:t>.▲支持老师进行课程安排，课程安排时可以选择课程名称、科目、教室、上课老师、班级、上课日期和时间；支持课堂练习、小测、众评、视频</w:t>
            </w:r>
            <w:r>
              <w:rPr>
                <w:rFonts w:eastAsia="宋体" w:hint="eastAsia"/>
                <w:lang w:eastAsia="zh-CN"/>
              </w:rPr>
              <w:t>播放</w:t>
            </w:r>
            <w:r>
              <w:rPr>
                <w:rFonts w:eastAsia="宋体" w:hint="eastAsia"/>
                <w:lang w:val="en-US" w:eastAsia="zh-CN"/>
              </w:rPr>
              <w:t>教学</w:t>
            </w:r>
            <w:r>
              <w:rPr>
                <w:rFonts w:eastAsia="宋体" w:hint="eastAsia"/>
              </w:rPr>
              <w:t>功能（投标时提供所投产品或所提供产品系列满足该技术要求的具有</w:t>
            </w:r>
            <w:r>
              <w:rPr>
                <w:rFonts w:eastAsia="宋体"/>
              </w:rPr>
              <w:t>CNAS</w:t>
            </w:r>
            <w:r>
              <w:rPr>
                <w:rFonts w:eastAsia="宋体" w:hint="eastAsia"/>
              </w:rPr>
              <w:t>和</w:t>
            </w:r>
            <w:r>
              <w:rPr>
                <w:rFonts w:eastAsia="宋体"/>
              </w:rPr>
              <w:t>CMA</w:t>
            </w:r>
            <w:r>
              <w:rPr>
                <w:rFonts w:eastAsia="宋体" w:hint="eastAsia"/>
              </w:rPr>
              <w:t>标识的软件产品登记测试报告，原件备查）；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数据统计模块：</w:t>
            </w:r>
          </w:p>
          <w:p>
            <w:pPr>
              <w:rPr>
                <w:rFonts w:eastAsia="宋体"/>
              </w:rPr>
            </w:pPr>
            <w:r>
              <w:rPr>
                <w:rFonts w:eastAsia="宋体"/>
              </w:rPr>
              <w:t>2.</w:t>
            </w:r>
            <w:r>
              <w:rPr>
                <w:rFonts w:eastAsia="宋体" w:hint="eastAsia"/>
              </w:rPr>
              <w:t>16.支持在课堂练习后可以查看课程总结，课程总结包括实验题目、实验要点、上课人数、练习人数、人均练习次数和点评数；</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3</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平台对接</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3.1.中标方须提供平台对接服务，满足深圳市关于校级平台的对接的数据标准要求，应能上下对接，与市/区相关平台进行数据交换。</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3.2.设备培训服务</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3.a）设计方案应要求原厂进行不少于两次现场培训；</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3.b）培训对象应含所有将要使用设备的人员（例如考务人员、科任老师、网络管理员等）；</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3.c）培训内容应包含考试使用、日常测验使用及日常设备维护的要求。</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3.3.售后服务</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3.a）服务期限不低于三年；</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3.b）服务期限含硬软件、系统更新、为考虑不同品牌平台之间的对接融合，供应商必须公开软件的API接口，并负责对接服务；</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3.c）不少于两次的售后服务培训；</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3.d）原厂本地化售后服务要求，出现问题应一小时内响应、两小时内到场、7*24小时原厂技术线上支持。</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3.e）平台对接含平台对接所需1台汇聚交换机</w:t>
            </w:r>
          </w:p>
          <w:p>
            <w:pPr>
              <w:rPr>
                <w:rFonts w:eastAsia="宋体"/>
              </w:rPr>
            </w:pPr>
            <w:r>
              <w:rPr>
                <w:rFonts w:eastAsia="宋体" w:hint="eastAsia"/>
              </w:rPr>
              <w:t>交换容量≥</w:t>
            </w:r>
            <w:r>
              <w:rPr>
                <w:rFonts w:eastAsia="宋体"/>
              </w:rPr>
              <w:t>670Gbps</w:t>
            </w:r>
            <w:r>
              <w:rPr>
                <w:rFonts w:eastAsia="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宋体" w:hint="eastAsia"/>
              </w:rPr>
              <w:t>3.f）</w:t>
            </w:r>
            <w:r>
              <w:rPr>
                <w:rFonts w:ascii="宋体" w:eastAsia="宋体" w:hAnsi="宋体" w:cs="宋体" w:hint="eastAsia"/>
              </w:rPr>
              <w:t>包转发率</w:t>
            </w:r>
            <w:r>
              <w:t>≥170Mpps</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宋体" w:hint="eastAsia"/>
              </w:rPr>
              <w:t>3.g）</w:t>
            </w:r>
            <w:r>
              <w:rPr>
                <w:rFonts w:ascii="宋体" w:eastAsia="宋体" w:hAnsi="宋体" w:cs="宋体" w:hint="eastAsia"/>
              </w:rPr>
              <w:t>端口：</w:t>
            </w:r>
            <w:r>
              <w:t>≥24</w:t>
            </w:r>
            <w:r>
              <w:rPr>
                <w:rFonts w:ascii="宋体" w:eastAsia="宋体" w:hAnsi="宋体" w:cs="宋体" w:hint="eastAsia"/>
              </w:rPr>
              <w:t>个</w:t>
            </w:r>
            <w:r>
              <w:t>10/100/1000BASE-T</w:t>
            </w:r>
            <w:r>
              <w:rPr>
                <w:rFonts w:ascii="宋体" w:eastAsia="宋体" w:hAnsi="宋体" w:cs="宋体" w:hint="eastAsia"/>
              </w:rPr>
              <w:t>以太网端口、</w:t>
            </w:r>
            <w:r>
              <w:t>≥4</w:t>
            </w:r>
            <w:r>
              <w:rPr>
                <w:rFonts w:ascii="宋体" w:eastAsia="宋体" w:hAnsi="宋体" w:cs="宋体" w:hint="eastAsia"/>
              </w:rPr>
              <w:t>个万兆</w:t>
            </w:r>
            <w:r>
              <w:t>SFP+</w:t>
            </w:r>
            <w:r>
              <w:rPr>
                <w:rFonts w:ascii="宋体" w:eastAsia="宋体" w:hAnsi="宋体" w:cs="宋体" w:hint="eastAsia"/>
              </w:rPr>
              <w:t>、</w:t>
            </w:r>
            <w:r>
              <w:t>≥2</w:t>
            </w:r>
            <w:r>
              <w:rPr>
                <w:rFonts w:ascii="宋体" w:eastAsia="宋体" w:hAnsi="宋体" w:cs="宋体" w:hint="eastAsia"/>
              </w:rPr>
              <w:t>个</w:t>
            </w:r>
            <w:r>
              <w:t>12GE</w:t>
            </w:r>
            <w:r>
              <w:rPr>
                <w:rFonts w:ascii="宋体" w:eastAsia="宋体" w:hAnsi="宋体" w:cs="宋体" w:hint="eastAsia"/>
              </w:rPr>
              <w:t>专用堆叠口；</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宋体" w:hint="eastAsia"/>
              </w:rPr>
              <w:t>3.h）支持静态、动态、黑洞</w:t>
            </w:r>
            <w:r>
              <w:t>MAC</w:t>
            </w:r>
            <w:r>
              <w:rPr>
                <w:rFonts w:eastAsia="宋体" w:hint="eastAsia"/>
              </w:rPr>
              <w:t>表项；支持</w:t>
            </w:r>
            <w:r>
              <w:t>MAC</w:t>
            </w:r>
            <w:r>
              <w:rPr>
                <w:rFonts w:eastAsia="宋体" w:hint="eastAsia"/>
              </w:rPr>
              <w:t>地址自动学习和老化；</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宋体" w:hint="eastAsia"/>
              </w:rPr>
              <w:t>3.i）</w:t>
            </w:r>
            <w:r>
              <w:rPr>
                <w:rFonts w:ascii="宋体" w:eastAsia="宋体" w:hAnsi="宋体" w:cs="宋体" w:hint="eastAsia"/>
              </w:rPr>
              <w:t>支持静态路由、</w:t>
            </w:r>
            <w:r>
              <w:t>RIPv1/2</w:t>
            </w:r>
            <w:r>
              <w:rPr>
                <w:rFonts w:ascii="宋体" w:eastAsia="宋体" w:hAnsi="宋体" w:cs="宋体" w:hint="eastAsia"/>
              </w:rPr>
              <w:t>、</w:t>
            </w:r>
            <w:r>
              <w:t>RIPng</w:t>
            </w:r>
            <w:r>
              <w:rPr>
                <w:rFonts w:ascii="宋体" w:eastAsia="宋体" w:hAnsi="宋体" w:cs="宋体" w:hint="eastAsia"/>
              </w:rPr>
              <w:t>、</w:t>
            </w:r>
            <w:r>
              <w:t>OSPF</w:t>
            </w:r>
            <w:r>
              <w:rPr>
                <w:rFonts w:ascii="宋体" w:eastAsia="宋体" w:hAnsi="宋体" w:cs="宋体" w:hint="eastAsia"/>
              </w:rPr>
              <w:t>、</w:t>
            </w:r>
            <w:r>
              <w:t>OSPFv3</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宋体" w:hint="eastAsia"/>
              </w:rPr>
              <w:t>3.j）</w:t>
            </w:r>
            <w:r>
              <w:t>▲</w:t>
            </w:r>
            <w:r>
              <w:rPr>
                <w:rFonts w:eastAsia="宋体" w:hint="eastAsia"/>
              </w:rPr>
              <w:t>支持网络信息安全，互联互通。</w:t>
            </w:r>
            <w:r>
              <w:t>IPv4</w:t>
            </w:r>
            <w:r>
              <w:rPr>
                <w:rFonts w:eastAsia="宋体" w:hint="eastAsia"/>
              </w:rPr>
              <w:t>路由规格</w:t>
            </w:r>
            <w:r>
              <w:t>≥4000</w:t>
            </w:r>
            <w:r>
              <w:rPr>
                <w:rFonts w:eastAsia="宋体" w:hint="eastAsia"/>
              </w:rPr>
              <w:t>，</w:t>
            </w:r>
            <w:r>
              <w:t>IPv6</w:t>
            </w:r>
            <w:r>
              <w:rPr>
                <w:rFonts w:eastAsia="宋体" w:hint="eastAsia"/>
              </w:rPr>
              <w:t>路由规格</w:t>
            </w:r>
            <w:r>
              <w:t>≥1000</w:t>
            </w:r>
            <w:r>
              <w:rPr>
                <w:rFonts w:eastAsia="宋体" w:hint="eastAsia"/>
              </w:rPr>
              <w:t>，支持独立堆叠口（投标时提供所投产品或所提供产品系列满足该技术要求的具有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4</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考试保障服务</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4.1.考前对各场室及机房设备进行巡检。</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4.2.正式考试（指深圳市初中学业水平考试实验操作考试）期间内，必须安排原厂考务技术人员（≥1名）驻点学校，现场提供技术支持、完成设备调试与应急对接等服务。</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4.3.考后对考卷数据进行整理及检查上传情况。</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5</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AI教考练小助手</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1.1</w:t>
            </w:r>
            <w:r>
              <w:rPr>
                <w:rFonts w:eastAsia="宋体" w:hint="eastAsia"/>
              </w:rPr>
              <w:t>、对于学生校级考试和课堂练习的物理、化学、生物实验操作数据进行</w:t>
            </w:r>
            <w:r>
              <w:t>AI</w:t>
            </w:r>
            <w:r>
              <w:rPr>
                <w:rFonts w:eastAsia="宋体" w:hint="eastAsia"/>
              </w:rPr>
              <w:t>评分，可根据实验题目评分标准，通过</w:t>
            </w:r>
            <w:r>
              <w:t>AI</w:t>
            </w:r>
            <w:r>
              <w:rPr>
                <w:rFonts w:eastAsia="宋体" w:hint="eastAsia"/>
              </w:rPr>
              <w:t>对实验视频进行分析，识别视频中的实验器材物体，并分析学生实验操作，对每个评分标准给出</w:t>
            </w:r>
            <w:r>
              <w:t>AI</w:t>
            </w:r>
            <w:r>
              <w:rPr>
                <w:rFonts w:eastAsia="宋体" w:hint="eastAsia"/>
              </w:rPr>
              <w:t>评分；</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5.1.</w:t>
            </w:r>
            <w:r>
              <w:rPr>
                <w:rFonts w:eastAsia="宋体" w:hint="eastAsia"/>
              </w:rPr>
              <w:t>支持通过</w:t>
            </w:r>
            <w:r>
              <w:t>AI</w:t>
            </w:r>
            <w:r>
              <w:rPr>
                <w:rFonts w:eastAsia="宋体" w:hint="eastAsia"/>
              </w:rPr>
              <w:t>分析，标记出实验操作评分点关键帧的时间，并在视频进度条上通过不同颜色显示，支持点击快速跳转至关键帧视频片段，进行教师复核；</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5.2.</w:t>
            </w:r>
            <w:r>
              <w:t>▲</w:t>
            </w:r>
            <w:r>
              <w:rPr>
                <w:rFonts w:eastAsia="宋体" w:hint="eastAsia"/>
              </w:rPr>
              <w:t>支持实验操作评分点关键帧截图功能，支持评分点错误反馈截图功能</w:t>
            </w:r>
            <w:r>
              <w:rPr>
                <w:rFonts w:eastAsia="宋体" w:hint="eastAsia"/>
                <w:lang w:eastAsia="zh-CN"/>
              </w:rPr>
              <w:t>（</w:t>
            </w:r>
            <w:r>
              <w:rPr>
                <w:rFonts w:eastAsia="宋体" w:hint="eastAsia"/>
              </w:rPr>
              <w:t>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5.3.</w:t>
            </w:r>
            <w:r>
              <w:t>▲</w:t>
            </w:r>
            <w:r>
              <w:rPr>
                <w:rFonts w:eastAsia="宋体" w:hint="eastAsia"/>
              </w:rPr>
              <w:t>支持</w:t>
            </w:r>
            <w:r>
              <w:t>AI</w:t>
            </w:r>
            <w:r>
              <w:rPr>
                <w:rFonts w:eastAsia="宋体" w:hint="eastAsia"/>
              </w:rPr>
              <w:t>自学练习，学生可在没有老师在场的情况下，自行进行实验练习，</w:t>
            </w:r>
            <w:r>
              <w:t>AI</w:t>
            </w:r>
            <w:r>
              <w:rPr>
                <w:rFonts w:eastAsia="宋体" w:hint="eastAsia"/>
              </w:rPr>
              <w:t>将对学生操作视频进行实时分析，并对每个评分点，实时反馈操作评价，支持关键帧截图展示</w:t>
            </w:r>
            <w:r>
              <w:rPr>
                <w:rFonts w:eastAsia="宋体" w:hint="eastAsia"/>
                <w:lang w:eastAsia="zh-CN"/>
              </w:rPr>
              <w:t>（</w:t>
            </w:r>
            <w:r>
              <w:rPr>
                <w:rFonts w:eastAsia="宋体" w:hint="eastAsia"/>
              </w:rPr>
              <w:t>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5.4.</w:t>
            </w:r>
            <w:r>
              <w:t>▲</w:t>
            </w:r>
            <w:r>
              <w:rPr>
                <w:rFonts w:eastAsia="宋体" w:hint="eastAsia"/>
              </w:rPr>
              <w:t>支持教学模式下的</w:t>
            </w:r>
            <w:r>
              <w:t>AI</w:t>
            </w:r>
            <w:r>
              <w:rPr>
                <w:rFonts w:eastAsia="宋体" w:hint="eastAsia"/>
              </w:rPr>
              <w:t>课堂练习，教师可在教学平台，实时查看学生的操作视频，并支持</w:t>
            </w:r>
            <w:r>
              <w:t>AI</w:t>
            </w:r>
            <w:r>
              <w:rPr>
                <w:rFonts w:eastAsia="宋体" w:hint="eastAsia"/>
              </w:rPr>
              <w:t>实时反馈操作评价</w:t>
            </w:r>
            <w:r>
              <w:rPr>
                <w:rFonts w:eastAsia="宋体" w:hint="eastAsia"/>
                <w:lang w:eastAsia="zh-CN"/>
              </w:rPr>
              <w:t>（</w:t>
            </w:r>
            <w:r>
              <w:rPr>
                <w:rFonts w:eastAsia="宋体" w:hint="eastAsia"/>
              </w:rPr>
              <w:t>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5.5.</w:t>
            </w:r>
            <w:r>
              <w:rPr>
                <w:rFonts w:ascii="宋体" w:eastAsia="宋体" w:hAnsi="宋体" w:cs="宋体" w:hint="eastAsia"/>
              </w:rPr>
              <w:t>支持追踪到考点、错误分析、成绩分析、过程性评价和质量分析、历次考试的评价及建议、改卷的评分点及过程；</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5.6.</w:t>
            </w:r>
            <w:r>
              <w:t>▲</w:t>
            </w:r>
            <w:r>
              <w:rPr>
                <w:rFonts w:eastAsia="宋体" w:hint="eastAsia"/>
              </w:rPr>
              <w:t>摄像头</w:t>
            </w:r>
            <w:r>
              <w:t xml:space="preserve"> AI</w:t>
            </w:r>
            <w:r>
              <w:rPr>
                <w:rFonts w:eastAsia="宋体" w:hint="eastAsia"/>
              </w:rPr>
              <w:t>监测：支持对摄像头画面进行遮挡、人为移动异常情况的监测，并上报系统；支持自动人脸模糊处理</w:t>
            </w:r>
            <w:r>
              <w:rPr>
                <w:rFonts w:eastAsia="宋体" w:hint="eastAsia"/>
                <w:lang w:eastAsia="zh-CN"/>
              </w:rPr>
              <w:t>（</w:t>
            </w:r>
            <w:r>
              <w:rPr>
                <w:rFonts w:eastAsia="宋体" w:hint="eastAsia"/>
              </w:rPr>
              <w:t>投标时提供所投产品或所提供产品系列满足该技术要求的具有</w:t>
            </w:r>
            <w:r>
              <w:t>CNAS</w:t>
            </w:r>
            <w:r>
              <w:rPr>
                <w:rFonts w:eastAsia="宋体" w:hint="eastAsia"/>
              </w:rPr>
              <w:t>和</w:t>
            </w:r>
            <w:r>
              <w:t>CMA</w:t>
            </w:r>
            <w:r>
              <w:rPr>
                <w:rFonts w:eastAsia="宋体" w:hint="eastAsia"/>
              </w:rPr>
              <w:t>标识的软件产品登记测试报告，原件备查）；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5.7.</w:t>
            </w:r>
            <w:r>
              <w:t>▲</w:t>
            </w:r>
            <w:r>
              <w:rPr>
                <w:rFonts w:eastAsia="宋体" w:hint="eastAsia"/>
              </w:rPr>
              <w:t>提供智慧实验</w:t>
            </w:r>
            <w:r>
              <w:t>AI</w:t>
            </w:r>
            <w:r>
              <w:rPr>
                <w:rFonts w:eastAsia="宋体" w:hint="eastAsia"/>
              </w:rPr>
              <w:t>评分点检测类计算机软件著作权登记证书、智能赋分类计算机软件著作权登记证书；</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6</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AI算力终端</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6</w:t>
            </w:r>
            <w:r>
              <w:t>.1</w:t>
            </w:r>
            <w:r>
              <w:rPr>
                <w:rFonts w:ascii="宋体" w:eastAsia="宋体" w:hAnsi="宋体" w:cs="宋体" w:hint="eastAsia"/>
              </w:rPr>
              <w:t>.规格：</w:t>
            </w:r>
            <w:r>
              <w:t>≥2U</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6</w:t>
            </w:r>
            <w:r>
              <w:t>.</w:t>
            </w:r>
            <w:r>
              <w:rPr>
                <w:rFonts w:eastAsiaTheme="minorEastAsia" w:hint="eastAsia"/>
              </w:rPr>
              <w:t>2</w:t>
            </w:r>
            <w:r>
              <w:rPr>
                <w:rFonts w:ascii="宋体" w:eastAsia="宋体" w:hAnsi="宋体" w:cs="宋体" w:hint="eastAsia"/>
              </w:rPr>
              <w:t>.</w:t>
            </w:r>
            <w:r>
              <w:t>CPU</w:t>
            </w:r>
            <w:r>
              <w:rPr>
                <w:rFonts w:ascii="宋体" w:eastAsia="宋体" w:hAnsi="宋体" w:cs="宋体" w:hint="eastAsia"/>
              </w:rPr>
              <w:t>需求：配置</w:t>
            </w:r>
            <w:r>
              <w:t>≥2</w:t>
            </w:r>
            <w:r>
              <w:rPr>
                <w:rFonts w:ascii="宋体" w:eastAsia="宋体" w:hAnsi="宋体" w:cs="宋体" w:hint="eastAsia"/>
              </w:rPr>
              <w:t>颗</w:t>
            </w:r>
            <w:r>
              <w:t>CPU</w:t>
            </w:r>
            <w:r>
              <w:rPr>
                <w:rFonts w:ascii="宋体" w:eastAsia="宋体" w:hAnsi="宋体" w:cs="宋体" w:hint="eastAsia"/>
              </w:rPr>
              <w:t>、每个</w:t>
            </w:r>
            <w:r>
              <w:t>CPU</w:t>
            </w:r>
            <w:r>
              <w:rPr>
                <w:rFonts w:hint="eastAsia"/>
              </w:rPr>
              <w:t>≥</w:t>
            </w:r>
            <w:r>
              <w:t>2.5GHz</w:t>
            </w:r>
            <w:r>
              <w:rPr>
                <w:rFonts w:ascii="宋体" w:eastAsia="宋体" w:hAnsi="宋体" w:cs="宋体" w:hint="eastAsia"/>
              </w:rPr>
              <w:t>、</w:t>
            </w:r>
            <w:r>
              <w:t>≥20</w:t>
            </w:r>
            <w:r>
              <w:rPr>
                <w:rFonts w:ascii="宋体" w:eastAsia="宋体" w:hAnsi="宋体" w:cs="宋体" w:hint="eastAsia"/>
              </w:rPr>
              <w:t>核处理器、</w:t>
            </w:r>
            <w:r>
              <w:t>≥40</w:t>
            </w:r>
            <w:r>
              <w:rPr>
                <w:rFonts w:ascii="宋体" w:eastAsia="宋体" w:hAnsi="宋体" w:cs="宋体" w:hint="eastAsia"/>
              </w:rPr>
              <w:t>线程或同等规格；</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6</w:t>
            </w:r>
            <w:r>
              <w:t>.</w:t>
            </w:r>
            <w:r>
              <w:rPr>
                <w:rFonts w:eastAsiaTheme="minorEastAsia" w:hint="eastAsia"/>
              </w:rPr>
              <w:t>3</w:t>
            </w:r>
            <w:r>
              <w:rPr>
                <w:rFonts w:ascii="宋体" w:eastAsia="宋体" w:hAnsi="宋体" w:cs="宋体" w:hint="eastAsia"/>
              </w:rPr>
              <w:t>.内存需求：配置</w:t>
            </w:r>
            <w:r>
              <w:t>≥8</w:t>
            </w:r>
            <w:r>
              <w:rPr>
                <w:rFonts w:ascii="宋体" w:eastAsia="宋体" w:hAnsi="宋体" w:cs="宋体" w:hint="eastAsia"/>
              </w:rPr>
              <w:t>条</w:t>
            </w:r>
            <w:r>
              <w:t>32GB DDR4</w:t>
            </w:r>
            <w:r>
              <w:rPr>
                <w:rFonts w:ascii="宋体" w:eastAsia="宋体" w:hAnsi="宋体" w:cs="宋体" w:hint="eastAsia"/>
              </w:rPr>
              <w:t>内存；</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6</w:t>
            </w:r>
            <w:r>
              <w:t>.</w:t>
            </w:r>
            <w:r>
              <w:rPr>
                <w:rFonts w:eastAsiaTheme="minorEastAsia" w:hint="eastAsia"/>
              </w:rPr>
              <w:t>4</w:t>
            </w:r>
            <w:r>
              <w:rPr>
                <w:rFonts w:ascii="宋体" w:eastAsia="宋体" w:hAnsi="宋体" w:cs="宋体" w:hint="eastAsia"/>
              </w:rPr>
              <w:t>.硬盘需求：配置</w:t>
            </w:r>
            <w:r>
              <w:t>≥2</w:t>
            </w:r>
            <w:r>
              <w:rPr>
                <w:rFonts w:ascii="宋体" w:eastAsia="宋体" w:hAnsi="宋体" w:cs="宋体" w:hint="eastAsia"/>
              </w:rPr>
              <w:t>块</w:t>
            </w:r>
            <w:r>
              <w:t>960G SATA SSD</w:t>
            </w:r>
            <w:r>
              <w:rPr>
                <w:rFonts w:ascii="宋体" w:eastAsia="宋体" w:hAnsi="宋体" w:cs="宋体" w:hint="eastAsia"/>
              </w:rPr>
              <w:t>硬盘；</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6</w:t>
            </w:r>
            <w:r>
              <w:t>.</w:t>
            </w:r>
            <w:r>
              <w:rPr>
                <w:rFonts w:eastAsiaTheme="minorEastAsia" w:hint="eastAsia"/>
              </w:rPr>
              <w:t>5</w:t>
            </w:r>
            <w:r>
              <w:rPr>
                <w:rFonts w:ascii="宋体" w:eastAsia="宋体" w:hAnsi="宋体" w:cs="宋体" w:hint="eastAsia"/>
              </w:rPr>
              <w:t>.</w:t>
            </w:r>
            <w:r>
              <w:t>RAID</w:t>
            </w:r>
            <w:r>
              <w:rPr>
                <w:rFonts w:ascii="宋体" w:eastAsia="宋体" w:hAnsi="宋体" w:cs="宋体" w:hint="eastAsia"/>
              </w:rPr>
              <w:t>卡需求：配置</w:t>
            </w:r>
            <w:r>
              <w:t>1</w:t>
            </w:r>
            <w:r>
              <w:rPr>
                <w:rFonts w:ascii="宋体" w:eastAsia="宋体" w:hAnsi="宋体" w:cs="宋体" w:hint="eastAsia"/>
              </w:rPr>
              <w:t>块</w:t>
            </w:r>
            <w:r>
              <w:t>RAID</w:t>
            </w:r>
            <w:r>
              <w:rPr>
                <w:rFonts w:ascii="宋体" w:eastAsia="宋体" w:hAnsi="宋体" w:cs="宋体" w:hint="eastAsia"/>
              </w:rPr>
              <w:t>卡，支持</w:t>
            </w:r>
            <w:r>
              <w:t>Raid0,1</w:t>
            </w:r>
            <w:r>
              <w:rPr>
                <w:rFonts w:ascii="宋体" w:eastAsia="宋体" w:hAnsi="宋体" w:cs="宋体" w:hint="eastAsia"/>
              </w:rPr>
              <w:t>，</w:t>
            </w:r>
            <w:r>
              <w:t>2GB Cache</w:t>
            </w:r>
            <w:r>
              <w:rPr>
                <w:rFonts w:ascii="宋体" w:eastAsia="宋体" w:hAnsi="宋体" w:cs="宋体" w:hint="eastAsia"/>
              </w:rPr>
              <w:t>，含掉电保护；</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6</w:t>
            </w:r>
            <w:r>
              <w:t>.</w:t>
            </w:r>
            <w:r>
              <w:rPr>
                <w:rFonts w:eastAsiaTheme="minorEastAsia" w:hint="eastAsia"/>
              </w:rPr>
              <w:t>6</w:t>
            </w:r>
            <w:r>
              <w:rPr>
                <w:rFonts w:ascii="宋体" w:eastAsia="宋体" w:hAnsi="宋体" w:cs="宋体" w:hint="eastAsia"/>
              </w:rPr>
              <w:t>.网卡需求：</w:t>
            </w:r>
            <w:r>
              <w:t>≥2</w:t>
            </w:r>
            <w:r>
              <w:rPr>
                <w:rFonts w:ascii="宋体" w:eastAsia="宋体" w:hAnsi="宋体" w:cs="宋体" w:hint="eastAsia"/>
              </w:rPr>
              <w:t>个千兆网口；</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6.7.</w:t>
            </w:r>
            <w:r>
              <w:rPr>
                <w:rFonts w:ascii="宋体" w:eastAsia="宋体" w:hAnsi="宋体" w:cs="宋体" w:hint="eastAsia"/>
              </w:rPr>
              <w:t>显卡需求：数量</w:t>
            </w:r>
            <w:r>
              <w:t>≥4</w:t>
            </w:r>
            <w:r>
              <w:rPr>
                <w:rFonts w:ascii="宋体" w:eastAsia="宋体" w:hAnsi="宋体" w:cs="宋体" w:hint="eastAsia"/>
              </w:rPr>
              <w:t>块，每块</w:t>
            </w:r>
            <w:r>
              <w:t>GPU</w:t>
            </w:r>
            <w:r>
              <w:rPr>
                <w:rFonts w:ascii="宋体" w:eastAsia="宋体" w:hAnsi="宋体" w:cs="宋体" w:hint="eastAsia"/>
              </w:rPr>
              <w:t>显卡基础频率</w:t>
            </w:r>
            <w:r>
              <w:t>≥1.4GHz</w:t>
            </w:r>
            <w:r>
              <w:rPr>
                <w:rFonts w:ascii="宋体" w:eastAsia="宋体" w:hAnsi="宋体" w:cs="宋体" w:hint="eastAsia"/>
              </w:rPr>
              <w:t>，显存配置</w:t>
            </w:r>
            <w:r>
              <w:t>≥24GB GDDR6X</w:t>
            </w:r>
            <w:r>
              <w:rPr>
                <w:rFonts w:ascii="宋体" w:eastAsia="宋体" w:hAnsi="宋体" w:cs="宋体" w:hint="eastAsia"/>
              </w:rPr>
              <w:t>，显存位宽</w:t>
            </w:r>
            <w:r>
              <w:t>≥384</w:t>
            </w:r>
            <w:r>
              <w:rPr>
                <w:rFonts w:ascii="宋体" w:eastAsia="宋体" w:hAnsi="宋体" w:cs="宋体" w:hint="eastAsia"/>
              </w:rPr>
              <w:t>位；</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6.8.</w:t>
            </w:r>
            <w:r>
              <w:rPr>
                <w:rFonts w:ascii="宋体" w:eastAsia="宋体" w:hAnsi="宋体" w:cs="宋体" w:hint="eastAsia"/>
              </w:rPr>
              <w:t>电源需求：配置</w:t>
            </w:r>
            <w:r>
              <w:t>≥2</w:t>
            </w:r>
            <w:r>
              <w:rPr>
                <w:rFonts w:ascii="宋体" w:eastAsia="宋体" w:hAnsi="宋体" w:cs="宋体" w:hint="eastAsia"/>
              </w:rPr>
              <w:t>个热插拔电源，支持</w:t>
            </w:r>
            <w:r>
              <w:t>1+1</w:t>
            </w:r>
            <w:r>
              <w:rPr>
                <w:rFonts w:ascii="宋体" w:eastAsia="宋体" w:hAnsi="宋体" w:cs="宋体" w:hint="eastAsia"/>
              </w:rPr>
              <w:t>冗余；</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right w:val="single" w:sz="4" w:space="0" w:color="000000"/>
            </w:tcBorders>
            <w:shd w:val="clear" w:color="auto" w:fill="auto"/>
            <w:noWrap/>
            <w:vAlign w:val="center"/>
          </w:tcPr>
          <w:p>
            <w:pPr>
              <w:rPr>
                <w:rFonts w:eastAsia="宋体"/>
              </w:rPr>
            </w:pPr>
            <w:r>
              <w:rPr>
                <w:rFonts w:eastAsia="宋体" w:hint="eastAsia"/>
              </w:rPr>
              <w:t>7</w:t>
            </w:r>
          </w:p>
        </w:tc>
        <w:tc>
          <w:tcPr>
            <w:tcW w:w="384" w:type="pct"/>
            <w:vMerge w:val="restart"/>
            <w:tcBorders>
              <w:top w:val="single" w:sz="4" w:space="0" w:color="000000"/>
              <w:left w:val="single" w:sz="4" w:space="0" w:color="000000"/>
              <w:right w:val="single" w:sz="4" w:space="0" w:color="000000"/>
            </w:tcBorders>
            <w:shd w:val="clear" w:color="auto" w:fill="auto"/>
            <w:vAlign w:val="center"/>
          </w:tcPr>
          <w:p>
            <w:pPr>
              <w:rPr>
                <w:rFonts w:eastAsia="宋体"/>
              </w:rPr>
            </w:pPr>
            <w:r>
              <w:rPr>
                <w:rStyle w:val="font31"/>
                <w:rFonts w:hint="default"/>
              </w:rPr>
              <w:t xml:space="preserve">考场屏蔽终端 </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7.1.</w:t>
            </w:r>
            <w:r>
              <w:rPr>
                <w:rFonts w:ascii="宋体" w:eastAsia="宋体" w:hAnsi="宋体" w:cs="宋体" w:hint="eastAsia"/>
              </w:rPr>
              <w:t>支持多路分段独立屏蔽技术，支持屏蔽</w:t>
            </w:r>
            <w:r>
              <w:t>GSM900</w:t>
            </w:r>
            <w:r>
              <w:rPr>
                <w:rFonts w:ascii="宋体" w:eastAsia="宋体" w:hAnsi="宋体" w:cs="宋体" w:hint="eastAsia"/>
              </w:rPr>
              <w:t>、</w:t>
            </w:r>
            <w:r>
              <w:t>DCS1800</w:t>
            </w:r>
            <w:r>
              <w:rPr>
                <w:rFonts w:ascii="宋体" w:eastAsia="宋体" w:hAnsi="宋体" w:cs="宋体" w:hint="eastAsia"/>
              </w:rPr>
              <w:t>、</w:t>
            </w:r>
            <w:r>
              <w:t>PCS1900</w:t>
            </w:r>
            <w:r>
              <w:rPr>
                <w:rFonts w:ascii="宋体" w:eastAsia="宋体" w:hAnsi="宋体" w:cs="宋体" w:hint="eastAsia"/>
              </w:rPr>
              <w:t>、</w:t>
            </w:r>
            <w:r>
              <w:t>CDMA</w:t>
            </w:r>
            <w:r>
              <w:rPr>
                <w:rFonts w:ascii="宋体" w:eastAsia="宋体" w:hAnsi="宋体" w:cs="宋体" w:hint="eastAsia"/>
              </w:rPr>
              <w:t>、</w:t>
            </w:r>
            <w:r>
              <w:t>3G</w:t>
            </w:r>
            <w:r>
              <w:rPr>
                <w:rFonts w:ascii="宋体" w:eastAsia="宋体" w:hAnsi="宋体" w:cs="宋体" w:hint="eastAsia"/>
              </w:rPr>
              <w:t>、</w:t>
            </w:r>
            <w:r>
              <w:t>4G</w:t>
            </w:r>
            <w:r>
              <w:rPr>
                <w:rFonts w:ascii="宋体" w:eastAsia="宋体" w:hAnsi="宋体" w:cs="宋体" w:hint="eastAsia"/>
              </w:rPr>
              <w:t>、</w:t>
            </w:r>
            <w:r>
              <w:t>5G</w:t>
            </w:r>
            <w:r>
              <w:rPr>
                <w:rFonts w:ascii="宋体" w:eastAsia="宋体" w:hAnsi="宋体" w:cs="宋体" w:hint="eastAsia"/>
              </w:rPr>
              <w:t>等手机信号和</w:t>
            </w:r>
            <w:r>
              <w:t>WIFI</w:t>
            </w:r>
            <w:r>
              <w:rPr>
                <w:rFonts w:eastAsia="宋体" w:hint="eastAsia"/>
                <w:lang w:eastAsia="zh-CN"/>
              </w:rPr>
              <w:t>（</w:t>
            </w:r>
            <w:r>
              <w:t>2.4G+5.2G+5.8G</w:t>
            </w:r>
            <w:r>
              <w:rPr>
                <w:rFonts w:eastAsia="宋体" w:hint="eastAsia"/>
                <w:lang w:eastAsia="zh-CN"/>
              </w:rPr>
              <w:t>）</w:t>
            </w:r>
            <w:r>
              <w:rPr>
                <w:rFonts w:ascii="宋体" w:eastAsia="宋体" w:hAnsi="宋体" w:cs="宋体" w:hint="eastAsia"/>
              </w:rPr>
              <w:t>信号，或以手机无线频段为媒介的信息传输电子表等无线作弊设备；</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7.2.</w:t>
            </w:r>
            <w:r>
              <w:rPr>
                <w:rFonts w:ascii="宋体" w:eastAsia="宋体" w:hAnsi="宋体" w:cs="宋体" w:hint="eastAsia"/>
              </w:rPr>
              <w:t>内置铝合金散热器，支持缓启动电路设计；</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7.3.</w:t>
            </w:r>
            <w:r>
              <w:rPr>
                <w:rFonts w:ascii="宋体" w:eastAsia="宋体" w:hAnsi="宋体" w:cs="宋体" w:hint="eastAsia"/>
              </w:rPr>
              <w:t>每路平均发射功率</w:t>
            </w:r>
            <w:r>
              <w:t>2</w:t>
            </w:r>
            <w:r>
              <w:rPr>
                <w:rFonts w:eastAsia="宋体" w:hint="eastAsia"/>
                <w:lang w:eastAsia="zh-CN"/>
              </w:rPr>
              <w:t>—</w:t>
            </w:r>
            <w:r>
              <w:t>5W</w:t>
            </w:r>
            <w:r>
              <w:rPr>
                <w:rFonts w:ascii="宋体" w:eastAsia="宋体" w:hAnsi="宋体" w:cs="宋体" w:hint="eastAsia"/>
              </w:rPr>
              <w:t>（此范围任意值均可），有效屏蔽距离</w:t>
            </w:r>
            <w:r>
              <w:t>≤30</w:t>
            </w:r>
            <w:r>
              <w:rPr>
                <w:rFonts w:ascii="宋体" w:eastAsia="宋体" w:hAnsi="宋体" w:cs="宋体" w:hint="eastAsia"/>
              </w:rPr>
              <w:t>米，整机功耗</w:t>
            </w:r>
            <w:r>
              <w:t>≤80W</w:t>
            </w:r>
            <w:r>
              <w:rPr>
                <w:rFonts w:ascii="宋体" w:eastAsia="宋体" w:hAnsi="宋体" w:cs="宋体" w:hint="eastAsia"/>
              </w:rPr>
              <w:t>（视使用场所信号强弱情况）；</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7.4.</w:t>
            </w:r>
            <w:r>
              <w:rPr>
                <w:rFonts w:ascii="宋体" w:eastAsia="宋体" w:hAnsi="宋体" w:cs="宋体" w:hint="eastAsia"/>
              </w:rPr>
              <w:t>设备带有相对应</w:t>
            </w:r>
            <w:r>
              <w:t>LED</w:t>
            </w:r>
            <w:r>
              <w:rPr>
                <w:rFonts w:ascii="宋体" w:eastAsia="宋体" w:hAnsi="宋体" w:cs="宋体" w:hint="eastAsia"/>
              </w:rPr>
              <w:t>指示灯</w:t>
            </w:r>
            <w:r>
              <w:t>≥12</w:t>
            </w:r>
            <w:r>
              <w:rPr>
                <w:rFonts w:ascii="宋体" w:eastAsia="宋体" w:hAnsi="宋体" w:cs="宋体" w:hint="eastAsia"/>
              </w:rPr>
              <w:t>个，对应相应频段的工作指示灯，以及电源指示灯等；</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7.5.</w:t>
            </w:r>
            <w:r>
              <w:t>▲</w:t>
            </w:r>
            <w:r>
              <w:rPr>
                <w:rFonts w:eastAsia="宋体" w:hint="eastAsia"/>
              </w:rPr>
              <w:t>抗电强度：安全防范报警设备的电源插头或电源引入端与外壳裸露金属部件之间，应能承受</w:t>
            </w:r>
            <w:r>
              <w:t>45Hz</w:t>
            </w:r>
            <w:r>
              <w:rPr>
                <w:rFonts w:eastAsia="宋体" w:hint="eastAsia"/>
                <w:lang w:eastAsia="zh-CN"/>
              </w:rPr>
              <w:t>—</w:t>
            </w:r>
            <w:r>
              <w:t>65Hz</w:t>
            </w:r>
            <w:r>
              <w:rPr>
                <w:rFonts w:eastAsia="宋体" w:hint="eastAsia"/>
              </w:rPr>
              <w:t>（此范围任意值均可）交流电压的抗电强度试验，历时</w:t>
            </w:r>
            <w:r>
              <w:t xml:space="preserve"> 1min </w:t>
            </w:r>
            <w:r>
              <w:rPr>
                <w:rFonts w:eastAsia="宋体" w:hint="eastAsia"/>
              </w:rPr>
              <w:t>应无击穿和飞弧现象（投标时提供所投产品或所提供产品系列满足该技术要求的具有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7.6.</w:t>
            </w:r>
            <w:r>
              <w:rPr>
                <w:rFonts w:eastAsia="宋体" w:hint="eastAsia"/>
              </w:rPr>
              <w:t>支持多路分段独立屏蔽技术；</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7.7.</w:t>
            </w:r>
            <w:r>
              <w:rPr>
                <w:rFonts w:eastAsia="宋体" w:hint="eastAsia"/>
              </w:rPr>
              <w:t>支持超高频干扰；</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7.8.</w:t>
            </w:r>
            <w:r>
              <w:rPr>
                <w:rFonts w:eastAsia="宋体" w:hint="eastAsia"/>
              </w:rPr>
              <w:t>泄漏电流试验</w:t>
            </w:r>
            <w:r>
              <w:rPr>
                <w:rFonts w:eastAsia="宋体" w:hint="eastAsia"/>
                <w:lang w:eastAsia="zh-CN"/>
              </w:rPr>
              <w:t>：</w:t>
            </w:r>
            <w:r>
              <w:t>I</w:t>
            </w:r>
            <w:r>
              <w:rPr>
                <w:rFonts w:eastAsia="宋体" w:hint="eastAsia"/>
              </w:rPr>
              <w:t>、</w:t>
            </w:r>
            <w:r>
              <w:t>Ⅱ</w:t>
            </w:r>
            <w:r>
              <w:rPr>
                <w:rFonts w:eastAsia="宋体" w:hint="eastAsia"/>
              </w:rPr>
              <w:t>类设备工作时的泄漏电流应符合</w:t>
            </w:r>
            <w:r>
              <w:t xml:space="preserve"> GB16796-2009 </w:t>
            </w:r>
            <w:r>
              <w:rPr>
                <w:rFonts w:eastAsia="宋体" w:hint="eastAsia"/>
              </w:rPr>
              <w:t>中表</w:t>
            </w:r>
            <w:r>
              <w:t>2</w:t>
            </w:r>
            <w:r>
              <w:rPr>
                <w:rFonts w:eastAsia="宋体" w:hint="eastAsia"/>
              </w:rPr>
              <w:t>的规定；</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Theme="minorEastAsia"/>
              </w:rPr>
            </w:pPr>
            <w:r>
              <w:rPr>
                <w:rFonts w:eastAsiaTheme="minorEastAsia" w:hint="eastAsia"/>
              </w:rPr>
              <w:t>7.9.考场屏蔽终端配套一支手持金属探测器：</w:t>
            </w:r>
          </w:p>
          <w:p>
            <w:pPr>
              <w:rPr>
                <w:rFonts w:eastAsia="宋体"/>
              </w:rPr>
            </w:pPr>
            <w:r>
              <w:rPr>
                <w:rFonts w:eastAsia="宋体" w:hint="eastAsia"/>
              </w:rPr>
              <w:t>支持手持式操作，支持</w:t>
            </w:r>
            <w:r>
              <w:t>9V</w:t>
            </w:r>
            <w:r>
              <w:rPr>
                <w:rFonts w:eastAsia="宋体" w:hint="eastAsia"/>
              </w:rPr>
              <w:t>电池供电；</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7.10.</w:t>
            </w:r>
            <w:r>
              <w:rPr>
                <w:rFonts w:eastAsia="宋体" w:hint="eastAsia"/>
              </w:rPr>
              <w:t>支持高、低两种灵敏度选择，可根据现场要求调节灵敏度；</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7.11.</w:t>
            </w:r>
            <w:r>
              <w:rPr>
                <w:rFonts w:eastAsia="宋体" w:hint="eastAsia"/>
              </w:rPr>
              <w:t>报警方式有声音、振动两种选择；</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7.12.</w:t>
            </w:r>
            <w:r>
              <w:t>▲</w:t>
            </w:r>
            <w:r>
              <w:rPr>
                <w:rFonts w:eastAsia="宋体" w:hint="eastAsia"/>
              </w:rPr>
              <w:t>可持续工作</w:t>
            </w:r>
            <w:r>
              <w:t>≥40</w:t>
            </w:r>
            <w:r>
              <w:rPr>
                <w:rFonts w:eastAsia="宋体" w:hint="eastAsia"/>
              </w:rPr>
              <w:t>小时（</w:t>
            </w:r>
            <w:r>
              <w:t>h</w:t>
            </w:r>
            <w:r>
              <w:rPr>
                <w:rFonts w:eastAsia="宋体" w:hint="eastAsia"/>
              </w:rPr>
              <w:t>），报警声音最大声强</w:t>
            </w:r>
            <w:r>
              <w:t>≥75dB</w:t>
            </w:r>
            <w:r>
              <w:rPr>
                <w:rFonts w:eastAsia="宋体" w:hint="eastAsia"/>
              </w:rPr>
              <w:t>，金属探测器具有报警状态自动恢复能力，在离开报警测试物规定距离后，报警指示应立即停止（投标时提供所投产品或所提供产品系列满足该技术要求的具有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r>
              <w:t xml:space="preserve"> </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7.13.</w:t>
            </w:r>
            <w:r>
              <w:rPr>
                <w:rFonts w:eastAsia="宋体" w:hint="eastAsia"/>
              </w:rPr>
              <w:t>支持开、关机声音或振动提示功能；电池电量不足时有自动连续的声音或振动告警；</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7.14.</w:t>
            </w:r>
            <w:r>
              <w:rPr>
                <w:rFonts w:eastAsia="宋体" w:hint="eastAsia"/>
              </w:rPr>
              <w:t>当电量变低时，探测距离不变，性能稳定；</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7.15.</w:t>
            </w:r>
            <w:r>
              <w:rPr>
                <w:rFonts w:eastAsia="宋体" w:hint="eastAsia"/>
              </w:rPr>
              <w:t>配备皮套，支持挂在腰间；</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7.16.</w:t>
            </w:r>
            <w:r>
              <w:rPr>
                <w:rFonts w:eastAsia="宋体" w:hint="eastAsia"/>
              </w:rPr>
              <w:t>探测灵敏度：直径</w:t>
            </w:r>
            <w:r>
              <w:t>≥20mm</w:t>
            </w:r>
            <w:r>
              <w:rPr>
                <w:rFonts w:eastAsia="宋体" w:hint="eastAsia"/>
              </w:rPr>
              <w:t>的钢珠，探测距离为</w:t>
            </w:r>
            <w:r>
              <w:t>≥50mm</w:t>
            </w:r>
            <w:r>
              <w:rPr>
                <w:rFonts w:eastAsia="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7.17.</w:t>
            </w:r>
            <w:r>
              <w:t>▲</w:t>
            </w:r>
            <w:r>
              <w:rPr>
                <w:rFonts w:eastAsia="宋体" w:hint="eastAsia"/>
              </w:rPr>
              <w:t>金属探测器发出的辐射磁场，其磁感应强度在其表面任一点都不超过</w:t>
            </w:r>
            <w:r>
              <w:t>12μT</w:t>
            </w:r>
            <w:r>
              <w:rPr>
                <w:rFonts w:eastAsia="宋体" w:hint="eastAsia"/>
              </w:rPr>
              <w:t>（投标时提供所投产品或所提供产品系列满足该技术要求的具有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7.18.</w:t>
            </w:r>
            <w:r>
              <w:t>▲</w:t>
            </w:r>
            <w:r>
              <w:rPr>
                <w:rFonts w:eastAsia="宋体" w:hint="eastAsia"/>
              </w:rPr>
              <w:t>抗相互干扰功能：多台探测器相隔</w:t>
            </w:r>
            <w:r>
              <w:t>0.6m</w:t>
            </w:r>
            <w:r>
              <w:rPr>
                <w:rFonts w:eastAsia="宋体" w:hint="eastAsia"/>
              </w:rPr>
              <w:t>同时使用，各自均能正常工作（投标时提供所投产品或所提供产品系列满足该技术要求的具有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7.19.▲在</w:t>
            </w:r>
            <w:r>
              <w:rPr>
                <w:rFonts w:eastAsia="宋体"/>
              </w:rPr>
              <w:t>0.6m</w:t>
            </w:r>
            <w:r>
              <w:rPr>
                <w:rFonts w:eastAsia="宋体" w:hint="eastAsia"/>
              </w:rPr>
              <w:t>范围以外的运动金属物体，不应使探测器误报警（投标时提供所投产品或所提供产品系列满足该技术要求的具有</w:t>
            </w:r>
            <w:r>
              <w:rPr>
                <w:rFonts w:eastAsia="宋体"/>
              </w:rPr>
              <w:t>CNAS</w:t>
            </w:r>
            <w:r>
              <w:rPr>
                <w:rFonts w:eastAsia="宋体" w:hint="eastAsia"/>
              </w:rPr>
              <w:t>和</w:t>
            </w:r>
            <w:r>
              <w:rPr>
                <w:rFonts w:eastAsia="宋体"/>
              </w:rP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8</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考场监考管理主机</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8.1.</w:t>
            </w:r>
            <w:r>
              <w:t>CPU</w:t>
            </w:r>
            <w:r>
              <w:rPr>
                <w:rFonts w:ascii="宋体" w:eastAsia="宋体" w:hAnsi="宋体" w:cs="宋体" w:hint="eastAsia"/>
              </w:rPr>
              <w:t>需求：</w:t>
            </w:r>
            <w:r>
              <w:t>15</w:t>
            </w:r>
            <w:r>
              <w:rPr>
                <w:rFonts w:ascii="宋体" w:eastAsia="宋体" w:hAnsi="宋体" w:cs="宋体" w:hint="eastAsia"/>
              </w:rPr>
              <w:t>或同等规格；</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8.2.</w:t>
            </w:r>
            <w:r>
              <w:rPr>
                <w:rFonts w:ascii="宋体" w:eastAsia="宋体" w:hAnsi="宋体" w:cs="宋体" w:hint="eastAsia"/>
              </w:rPr>
              <w:t>内存需求：</w:t>
            </w:r>
            <w:r>
              <w:t>≥8G</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8.3.</w:t>
            </w:r>
            <w:r>
              <w:rPr>
                <w:rFonts w:ascii="宋体" w:eastAsia="宋体" w:hAnsi="宋体" w:cs="宋体" w:hint="eastAsia"/>
              </w:rPr>
              <w:t>显存需求：</w:t>
            </w:r>
            <w:r>
              <w:t>≥2G</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8.4.</w:t>
            </w:r>
            <w:r>
              <w:rPr>
                <w:rFonts w:ascii="宋体" w:eastAsia="宋体" w:hAnsi="宋体" w:cs="宋体" w:hint="eastAsia"/>
              </w:rPr>
              <w:t>硬盘需求：</w:t>
            </w:r>
            <w:r>
              <w:t>≥1TB</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8.5.</w:t>
            </w:r>
            <w:r>
              <w:rPr>
                <w:rFonts w:ascii="宋体" w:eastAsia="宋体" w:hAnsi="宋体" w:cs="宋体" w:hint="eastAsia"/>
              </w:rPr>
              <w:t>显示器需求：</w:t>
            </w:r>
            <w:r>
              <w:t>≥21.5</w:t>
            </w:r>
            <w:r>
              <w:rPr>
                <w:rFonts w:ascii="宋体" w:eastAsia="宋体" w:hAnsi="宋体" w:cs="宋体" w:hint="eastAsia"/>
              </w:rPr>
              <w:t>寸</w:t>
            </w:r>
            <w:r>
              <w:rPr>
                <w:rFonts w:ascii="宋体" w:eastAsia="宋体" w:hAnsi="宋体" w:cs="宋体" w:hint="eastAsia"/>
                <w:lang w:eastAsia="zh-CN"/>
              </w:rPr>
              <w:t>（</w:t>
            </w:r>
            <w:r>
              <w:t>1920×1080</w:t>
            </w:r>
            <w:r>
              <w:rPr>
                <w:rFonts w:ascii="宋体" w:eastAsia="宋体" w:hAnsi="宋体" w:cs="宋体" w:hint="eastAsia"/>
              </w:rPr>
              <w:t>分辨率）；</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8.6.</w:t>
            </w:r>
            <w:r>
              <w:rPr>
                <w:rFonts w:ascii="宋体" w:eastAsia="宋体" w:hAnsi="宋体" w:cs="宋体" w:hint="eastAsia"/>
              </w:rPr>
              <w:t>键盘鼠标需求：</w:t>
            </w:r>
            <w:r>
              <w:t>USB</w:t>
            </w:r>
            <w:r>
              <w:rPr>
                <w:rFonts w:ascii="宋体" w:eastAsia="宋体" w:hAnsi="宋体" w:cs="宋体" w:hint="eastAsia"/>
              </w:rPr>
              <w:t>键盘鼠标；</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9</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实验教学测评监考软件</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9.1.提供物理、化学、生物实验示范视频、实验操作步骤、操作要点及考察评分点等；提供物理化学生物实验操作</w:t>
            </w:r>
            <w:r>
              <w:rPr>
                <w:rFonts w:eastAsia="宋体"/>
              </w:rPr>
              <w:t>AI</w:t>
            </w:r>
            <w:r>
              <w:rPr>
                <w:rFonts w:eastAsia="宋体" w:hint="eastAsia"/>
              </w:rPr>
              <w:t>实时分析模型，支持学生自学练习实验并通过</w:t>
            </w:r>
            <w:r>
              <w:rPr>
                <w:rFonts w:eastAsia="宋体"/>
              </w:rPr>
              <w:t>AI</w:t>
            </w:r>
            <w:r>
              <w:rPr>
                <w:rFonts w:eastAsia="宋体" w:hint="eastAsia"/>
              </w:rPr>
              <w:t>模型进行实时评分反馈；</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9.2.</w:t>
            </w:r>
            <w:r>
              <w:rPr>
                <w:rFonts w:hint="eastAsia"/>
              </w:rPr>
              <w:t xml:space="preserve"> </w:t>
            </w:r>
            <w:r>
              <w:rPr>
                <w:rFonts w:eastAsia="宋体" w:hint="eastAsia"/>
              </w:rPr>
              <w:t>支持批量查看和控制所有学生终端的使用状态，设备异常时能够以醒目方式显示出异常的设备；能适用日常课堂教学，拥有较好的理化生教学资源。</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9.3.</w:t>
            </w:r>
            <w:r>
              <w:rPr>
                <w:rFonts w:hint="eastAsia"/>
              </w:rPr>
              <w:t xml:space="preserve"> </w:t>
            </w:r>
            <w:r>
              <w:rPr>
                <w:rFonts w:eastAsia="宋体" w:hint="eastAsia"/>
              </w:rPr>
              <w:t>支持在学生众评后显示评分结果统计，包括实验平均成绩、评分点正确与错误统计等</w:t>
            </w:r>
            <w:r>
              <w:rPr>
                <w:rFonts w:eastAsia="宋体" w:hint="eastAsia"/>
                <w:lang w:eastAsia="zh-CN"/>
              </w:rPr>
              <w:t>；</w:t>
            </w:r>
          </w:p>
        </w:tc>
      </w:tr>
      <w:tr>
        <w:tblPrEx>
          <w:tblW w:w="4994" w:type="pct"/>
          <w:tblInd w:w="0" w:type="dxa"/>
          <w:tblCellMar>
            <w:top w:w="0" w:type="dxa"/>
            <w:left w:w="108" w:type="dxa"/>
            <w:bottom w:w="0" w:type="dxa"/>
            <w:right w:w="108" w:type="dxa"/>
          </w:tblCellMar>
        </w:tblPrEx>
        <w:trPr>
          <w:trHeight w:val="9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9.4.▲在一堂课程中，支持进行多轮学生练习；学生练习结束后，视频应该在</w:t>
            </w:r>
            <w:r>
              <w:rPr>
                <w:rFonts w:eastAsia="宋体"/>
              </w:rPr>
              <w:t>5</w:t>
            </w:r>
            <w:r>
              <w:rPr>
                <w:rFonts w:eastAsia="宋体" w:hint="eastAsia"/>
              </w:rPr>
              <w:t>秒内完整传至平台，便于老师进行当堂点评（投标时提供所投产品或所提供产品系列满足该技术要求的具有</w:t>
            </w:r>
            <w:r>
              <w:rPr>
                <w:rFonts w:eastAsia="宋体"/>
              </w:rPr>
              <w:t>CNAS</w:t>
            </w:r>
            <w:r>
              <w:rPr>
                <w:rFonts w:eastAsia="宋体" w:hint="eastAsia"/>
              </w:rPr>
              <w:t>和</w:t>
            </w:r>
            <w:r>
              <w:rPr>
                <w:rFonts w:eastAsia="宋体"/>
              </w:rPr>
              <w:t>CMA</w:t>
            </w:r>
            <w:r>
              <w:rPr>
                <w:rFonts w:eastAsia="宋体" w:hint="eastAsia"/>
              </w:rPr>
              <w:t>标识的检测报告或检验报告，原件备查）</w:t>
            </w:r>
            <w:r>
              <w:rPr>
                <w:rFonts w:eastAsia="宋体" w:hint="eastAsia"/>
                <w:lang w:eastAsia="zh-CN"/>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9.5.▲支持练习视频实时共享功能，教师可选择将某一台设备的视频实时分享到教室内其他设备端进行实时观看，用于教学实验示范（投标时提供所投产品或所提供产品系列满足该技术要求的具有</w:t>
            </w:r>
            <w:r>
              <w:rPr>
                <w:rFonts w:eastAsia="宋体"/>
              </w:rPr>
              <w:t>CNAS</w:t>
            </w:r>
            <w:r>
              <w:rPr>
                <w:rFonts w:eastAsia="宋体" w:hint="eastAsia"/>
              </w:rPr>
              <w:t>和</w:t>
            </w:r>
            <w:r>
              <w:rPr>
                <w:rFonts w:eastAsia="宋体"/>
              </w:rP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9.6.▲教师可以发起学生众评，学生可在平板端进行众评操作，被众评学生的实验练习视频可同屏显示俯视和侧视视频，同步播放；实验终端支持同步控制两路视频的播放、暂停及倍速；可对某一路视频进行全屏播放以及退出全屏播放；（投标时提供所投产品或所提供产品系列满足该技术要求的具有</w:t>
            </w:r>
            <w:r>
              <w:rPr>
                <w:rFonts w:eastAsia="宋体"/>
              </w:rPr>
              <w:t>CNAS</w:t>
            </w:r>
            <w:r>
              <w:rPr>
                <w:rFonts w:eastAsia="宋体" w:hint="eastAsia"/>
              </w:rPr>
              <w:t>和</w:t>
            </w:r>
            <w:r>
              <w:rPr>
                <w:rFonts w:eastAsia="宋体"/>
              </w:rP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9.7.▲系统支持展示各设备端学生众评状态、座位号、学生姓名、评分等信息</w:t>
            </w:r>
            <w:r>
              <w:rPr>
                <w:rFonts w:eastAsia="宋体" w:hint="eastAsia"/>
                <w:lang w:eastAsia="zh-CN"/>
              </w:rPr>
              <w:t>；</w:t>
            </w:r>
            <w:r>
              <w:rPr>
                <w:rFonts w:eastAsia="宋体" w:hint="eastAsia"/>
              </w:rPr>
              <w:t>支持查看指定学生提交的众评信息</w:t>
            </w:r>
            <w:r>
              <w:rPr>
                <w:rFonts w:eastAsia="宋体" w:hint="eastAsia"/>
                <w:lang w:eastAsia="zh-CN"/>
              </w:rPr>
              <w:t>；</w:t>
            </w:r>
            <w:r>
              <w:rPr>
                <w:rFonts w:eastAsia="宋体" w:hint="eastAsia"/>
              </w:rPr>
              <w:t>支持切换教师点评模式</w:t>
            </w:r>
            <w:r>
              <w:rPr>
                <w:rFonts w:eastAsia="宋体" w:hint="eastAsia"/>
                <w:lang w:eastAsia="zh-CN"/>
              </w:rPr>
              <w:t>；</w:t>
            </w:r>
            <w:r>
              <w:rPr>
                <w:rFonts w:eastAsia="宋体" w:hint="eastAsia"/>
              </w:rPr>
              <w:t>支持一键结束众评，并控制设备端退出点评界面</w:t>
            </w:r>
            <w:r>
              <w:rPr>
                <w:rFonts w:eastAsia="宋体" w:hint="eastAsia"/>
                <w:lang w:eastAsia="zh-CN"/>
              </w:rPr>
              <w:t>；</w:t>
            </w:r>
            <w:r>
              <w:rPr>
                <w:rFonts w:eastAsia="宋体" w:hint="eastAsia"/>
              </w:rPr>
              <w:t>（投标时提供所投产品或所提供产品系列满足该技术要求的具有</w:t>
            </w:r>
            <w:r>
              <w:rPr>
                <w:rFonts w:eastAsia="宋体"/>
              </w:rPr>
              <w:t>CNAS</w:t>
            </w:r>
            <w:r>
              <w:rPr>
                <w:rFonts w:eastAsia="宋体" w:hint="eastAsia"/>
              </w:rPr>
              <w:t>和</w:t>
            </w:r>
            <w:r>
              <w:rPr>
                <w:rFonts w:eastAsia="宋体"/>
              </w:rP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10</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电子目镜</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10</w:t>
            </w:r>
            <w:r>
              <w:t>.1</w:t>
            </w:r>
            <w:r>
              <w:rPr>
                <w:rFonts w:eastAsia="宋体" w:hint="eastAsia"/>
              </w:rPr>
              <w:t>.生物实验室配备电子目镜，替换光学目镜，在终端上呈现显微镜观察到的物象；</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10</w:t>
            </w:r>
            <w:r>
              <w:t>.2</w:t>
            </w:r>
            <w:r>
              <w:rPr>
                <w:rFonts w:eastAsia="宋体" w:hint="eastAsia"/>
              </w:rPr>
              <w:t>.具有</w:t>
            </w:r>
            <w:r>
              <w:t>CMOS</w:t>
            </w:r>
            <w:r>
              <w:rPr>
                <w:rFonts w:eastAsia="宋体" w:hint="eastAsia"/>
              </w:rPr>
              <w:t>传感器，匹配传统光学显微镜及数码显微镜；图像传感器像素不低于</w:t>
            </w:r>
            <w:r>
              <w:t>200</w:t>
            </w:r>
            <w:r>
              <w:rPr>
                <w:rFonts w:eastAsia="宋体" w:hint="eastAsia"/>
              </w:rPr>
              <w:t>万；</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10</w:t>
            </w:r>
            <w:r>
              <w:t>.3</w:t>
            </w:r>
            <w:r>
              <w:rPr>
                <w:rFonts w:ascii="宋体" w:eastAsia="宋体" w:hAnsi="宋体" w:cs="宋体" w:hint="eastAsia"/>
              </w:rPr>
              <w:t>.分辨率不低于</w:t>
            </w:r>
            <w:r>
              <w:t>1920×1080</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10</w:t>
            </w:r>
            <w:r>
              <w:t>.4</w:t>
            </w:r>
            <w:r>
              <w:rPr>
                <w:rFonts w:ascii="宋体" w:eastAsia="宋体" w:hAnsi="宋体" w:cs="宋体" w:hint="eastAsia"/>
              </w:rPr>
              <w:t>.帧率不低于</w:t>
            </w:r>
            <w:r>
              <w:t>25fps</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10</w:t>
            </w:r>
            <w:r>
              <w:t>.5</w:t>
            </w:r>
            <w:r>
              <w:rPr>
                <w:rFonts w:eastAsia="宋体" w:hint="eastAsia"/>
              </w:rPr>
              <w:t>.自动白平衡、自动曝光、增益补偿；</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10</w:t>
            </w:r>
            <w:r>
              <w:t>.6</w:t>
            </w:r>
            <w:r>
              <w:rPr>
                <w:rFonts w:ascii="宋体" w:eastAsia="宋体" w:hAnsi="宋体" w:cs="宋体" w:hint="eastAsia"/>
              </w:rPr>
              <w:t>.</w:t>
            </w:r>
            <w:r>
              <w:t>USB</w:t>
            </w:r>
            <w:r>
              <w:rPr>
                <w:rFonts w:ascii="宋体" w:eastAsia="宋体" w:hAnsi="宋体" w:cs="宋体" w:hint="eastAsia"/>
              </w:rPr>
              <w:t>接口供电，即插即用；</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11</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智能实验终端</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11.1.一体化支架：</w:t>
            </w:r>
          </w:p>
          <w:p>
            <w:pPr>
              <w:rPr>
                <w:rFonts w:eastAsia="宋体"/>
              </w:rPr>
            </w:pPr>
            <w:r>
              <w:rPr>
                <w:rFonts w:eastAsia="宋体" w:hint="eastAsia"/>
              </w:rPr>
              <w:t>使用过程中应稳定维持固定拍摄角度，不可自由伸缩和旋转</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11.2.</w:t>
            </w:r>
            <w:r>
              <w:rPr>
                <w:rFonts w:eastAsia="宋体" w:hint="eastAsia"/>
              </w:rPr>
              <w:t>可活动的部分展开后均需要有相关部件进行固定，防止因为误触而影响拍摄角度；</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11.3.</w:t>
            </w:r>
            <w:r>
              <w:rPr>
                <w:rFonts w:ascii="宋体" w:eastAsia="宋体" w:hAnsi="宋体" w:cs="宋体" w:hint="eastAsia"/>
              </w:rPr>
              <w:t>支架底座具备固定功能；</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11.4.</w:t>
            </w:r>
            <w:r>
              <w:rPr>
                <w:rFonts w:eastAsia="宋体" w:hint="eastAsia"/>
              </w:rPr>
              <w:t>支架部分的线材除底部连接部分外，其余部分均不可外露；</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11.5.</w:t>
            </w:r>
            <w:r>
              <w:rPr>
                <w:rFonts w:ascii="宋体" w:eastAsia="宋体" w:hAnsi="宋体" w:cs="宋体" w:hint="eastAsia"/>
              </w:rPr>
              <w:t>可用于标准实验桌；</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11.6.</w:t>
            </w:r>
            <w:r>
              <w:rPr>
                <w:rFonts w:ascii="宋体" w:eastAsia="宋体" w:hAnsi="宋体" w:cs="宋体" w:hint="eastAsia"/>
              </w:rPr>
              <w:t>支持折叠，每个摄像头的展开和收纳</w:t>
            </w:r>
            <w:r>
              <w:rPr>
                <w:rFonts w:ascii="宋体" w:eastAsia="宋体" w:hAnsi="宋体" w:cs="宋体" w:hint="eastAsia"/>
                <w:lang w:eastAsia="zh-CN"/>
              </w:rPr>
              <w:t>只需</w:t>
            </w:r>
            <w:r>
              <w:t>1</w:t>
            </w:r>
            <w:r>
              <w:rPr>
                <w:rFonts w:ascii="宋体" w:eastAsia="宋体" w:hAnsi="宋体" w:cs="宋体" w:hint="eastAsia"/>
              </w:rPr>
              <w:t>个步骤即可操作完成；</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11.7.</w:t>
            </w:r>
            <w:r>
              <w:t>▲</w:t>
            </w:r>
            <w:r>
              <w:rPr>
                <w:rFonts w:eastAsia="宋体" w:hint="eastAsia"/>
              </w:rPr>
              <w:t>支架与主机采用紧固件连接，不借助工具的情况下，不能将主机与支架</w:t>
            </w:r>
            <w:r>
              <w:rPr>
                <w:rFonts w:eastAsia="宋体" w:hint="eastAsia"/>
                <w:lang w:eastAsia="zh-CN"/>
              </w:rPr>
              <w:t>分类</w:t>
            </w:r>
            <w:r>
              <w:rPr>
                <w:rFonts w:eastAsia="宋体" w:hint="eastAsia"/>
              </w:rPr>
              <w:t>，防止破坏设备（投标时提供所投产品或所提供产品系列满足该技术要求的具有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宋体" w:hint="eastAsia"/>
              </w:rPr>
              <w:t>视频采集摄像头：</w:t>
            </w:r>
          </w:p>
          <w:p>
            <w:pPr>
              <w:rPr>
                <w:rFonts w:eastAsia="宋体"/>
              </w:rPr>
            </w:pPr>
            <w:r>
              <w:t>1</w:t>
            </w:r>
            <w:r>
              <w:rPr>
                <w:rFonts w:eastAsiaTheme="minorEastAsia" w:hint="eastAsia"/>
              </w:rPr>
              <w:t>1</w:t>
            </w:r>
            <w:r>
              <w:t>.8</w:t>
            </w:r>
            <w:r>
              <w:rPr>
                <w:rFonts w:eastAsia="宋体" w:hint="eastAsia"/>
              </w:rPr>
              <w:t>.每套终端配备摄像头数量不得少于</w:t>
            </w:r>
            <w:r>
              <w:t>2</w:t>
            </w:r>
            <w:r>
              <w:rPr>
                <w:rFonts w:eastAsia="宋体" w:hint="eastAsia"/>
              </w:rPr>
              <w:t>个，其中必须有</w:t>
            </w:r>
            <w:r>
              <w:t>1</w:t>
            </w:r>
            <w:r>
              <w:rPr>
                <w:rFonts w:eastAsia="宋体" w:hint="eastAsia"/>
              </w:rPr>
              <w:t>个俯视摄像头需能在一个画面拍摄整个实验台，另一个测试摄像头需支持拍摄核心操作区内操作和刻度细节；</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11.9.</w:t>
            </w:r>
            <w:r>
              <w:t>▲</w:t>
            </w:r>
            <w:r>
              <w:rPr>
                <w:rFonts w:ascii="宋体" w:eastAsia="宋体" w:hAnsi="宋体" w:cs="宋体" w:hint="eastAsia"/>
              </w:rPr>
              <w:t>摄像头为</w:t>
            </w:r>
            <w:r>
              <w:t>IPC</w:t>
            </w:r>
            <w:r>
              <w:rPr>
                <w:rFonts w:ascii="宋体" w:eastAsia="宋体" w:hAnsi="宋体" w:cs="宋体" w:hint="eastAsia"/>
              </w:rPr>
              <w:t>摄像头，支持多码流传输；主码流、子码流分别支持至少三端拉取视频流（投标时提供所投产品或所提供产品系列满足该技术要求的具有</w:t>
            </w:r>
            <w:r>
              <w:t>CNAS</w:t>
            </w:r>
            <w:r>
              <w:rPr>
                <w:rFonts w:ascii="宋体" w:eastAsia="宋体" w:hAnsi="宋体" w:cs="宋体" w:hint="eastAsia"/>
              </w:rPr>
              <w:t>和</w:t>
            </w:r>
            <w:r>
              <w:t>CMA</w:t>
            </w:r>
            <w:r>
              <w:rPr>
                <w:rFonts w:ascii="宋体" w:eastAsia="宋体" w:hAnsi="宋体" w:cs="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11.10.</w:t>
            </w:r>
            <w:r>
              <w:rPr>
                <w:rFonts w:ascii="宋体" w:eastAsia="宋体" w:hAnsi="宋体" w:cs="宋体" w:hint="eastAsia"/>
              </w:rPr>
              <w:t>俯视摄像头在考试中距离桌面的固定高度不得低于</w:t>
            </w:r>
            <w:r>
              <w:t>750mm</w:t>
            </w:r>
            <w:r>
              <w:rPr>
                <w:rFonts w:ascii="宋体" w:eastAsia="宋体" w:hAnsi="宋体" w:cs="宋体" w:hint="eastAsia"/>
              </w:rPr>
              <w:t>，降低学生碰头风险；</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.11</w:t>
            </w:r>
            <w:r>
              <w:rPr>
                <w:rFonts w:ascii="宋体" w:eastAsia="宋体" w:hAnsi="宋体" w:cs="宋体" w:hint="eastAsia"/>
              </w:rPr>
              <w:t>.各摄像头视频同步偏差不高于</w:t>
            </w:r>
            <w:r>
              <w:t>80ms</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w:t>
            </w:r>
            <w:r>
              <w:t>1.12</w:t>
            </w:r>
            <w:r>
              <w:rPr>
                <w:rFonts w:ascii="宋体" w:eastAsia="宋体" w:hAnsi="宋体" w:cs="宋体" w:hint="eastAsia"/>
              </w:rPr>
              <w:t>.支持</w:t>
            </w:r>
            <w:r>
              <w:t>3D</w:t>
            </w:r>
            <w:r>
              <w:rPr>
                <w:rFonts w:ascii="宋体" w:eastAsia="宋体" w:hAnsi="宋体" w:cs="宋体" w:hint="eastAsia"/>
              </w:rPr>
              <w:t>数字降噪；</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.13</w:t>
            </w:r>
            <w:r>
              <w:rPr>
                <w:rFonts w:ascii="宋体" w:eastAsia="宋体" w:hAnsi="宋体" w:cs="宋体" w:hint="eastAsia"/>
              </w:rPr>
              <w:t>.摄像头拍摄视频像素不低于</w:t>
            </w:r>
            <w:r>
              <w:t>400</w:t>
            </w:r>
            <w:r>
              <w:rPr>
                <w:rFonts w:ascii="宋体" w:eastAsia="宋体" w:hAnsi="宋体" w:cs="宋体" w:hint="eastAsia"/>
              </w:rPr>
              <w:t>万，拍摄帧率不低于</w:t>
            </w:r>
            <w:r>
              <w:t>25fps</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.14</w:t>
            </w:r>
            <w:r>
              <w:rPr>
                <w:rFonts w:ascii="宋体" w:eastAsia="宋体" w:hAnsi="宋体" w:cs="宋体" w:hint="eastAsia"/>
              </w:rPr>
              <w:t>.支持宽动态，宽动态范围不低于</w:t>
            </w:r>
            <w:r>
              <w:t>90dB</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.15</w:t>
            </w:r>
            <w:r>
              <w:rPr>
                <w:rFonts w:ascii="宋体" w:eastAsia="宋体" w:hAnsi="宋体" w:cs="宋体" w:hint="eastAsia"/>
              </w:rPr>
              <w:t>.支持</w:t>
            </w:r>
            <w:r>
              <w:t>H.265/H.264/MJPEG</w:t>
            </w:r>
            <w:r>
              <w:rPr>
                <w:rFonts w:ascii="宋体" w:eastAsia="宋体" w:hAnsi="宋体" w:cs="宋体" w:hint="eastAsia"/>
              </w:rPr>
              <w:t>视频压缩编码；</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.16</w:t>
            </w:r>
            <w:r>
              <w:rPr>
                <w:rFonts w:ascii="宋体" w:eastAsia="宋体" w:hAnsi="宋体" w:cs="宋体" w:hint="eastAsia"/>
              </w:rPr>
              <w:t>.支持自动曝光，自动白平衡；</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宋体" w:hint="eastAsia"/>
              </w:rPr>
              <w:t>操作终端：</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.17</w:t>
            </w:r>
            <w:r>
              <w:rPr>
                <w:rFonts w:eastAsia="宋体" w:hint="eastAsia"/>
              </w:rPr>
              <w:t>.显示屏幕：</w:t>
            </w:r>
            <w:r>
              <w:t>IPS</w:t>
            </w:r>
            <w:r>
              <w:rPr>
                <w:rFonts w:eastAsia="宋体" w:hint="eastAsia"/>
              </w:rPr>
              <w:t>屏幕，</w:t>
            </w:r>
            <w:r>
              <w:t>100%</w:t>
            </w:r>
            <w:r>
              <w:rPr>
                <w:rFonts w:eastAsia="宋体" w:hint="eastAsia"/>
              </w:rPr>
              <w:t>色域，</w:t>
            </w:r>
            <w:r>
              <w:t>≥15.6</w:t>
            </w:r>
            <w:r>
              <w:rPr>
                <w:rFonts w:eastAsia="宋体" w:hint="eastAsia"/>
              </w:rPr>
              <w:t>英寸，分辨率</w:t>
            </w:r>
            <w:r>
              <w:t>≥1920×1080</w:t>
            </w:r>
            <w:r>
              <w:rPr>
                <w:rFonts w:eastAsia="宋体" w:hint="eastAsia"/>
              </w:rPr>
              <w:t>，支持多点</w:t>
            </w:r>
            <w:r>
              <w:rPr>
                <w:rFonts w:eastAsia="宋体" w:hint="eastAsia"/>
                <w:lang w:eastAsia="zh-CN"/>
              </w:rPr>
              <w:t>（</w:t>
            </w:r>
            <w:r>
              <w:rPr>
                <w:rFonts w:eastAsia="宋体" w:hint="eastAsia"/>
              </w:rPr>
              <w:t>不低于</w:t>
            </w:r>
            <w:r>
              <w:t>10</w:t>
            </w:r>
            <w:r>
              <w:rPr>
                <w:rFonts w:eastAsia="宋体" w:hint="eastAsia"/>
              </w:rPr>
              <w:t>点</w:t>
            </w:r>
            <w:r>
              <w:rPr>
                <w:rFonts w:eastAsia="宋体" w:hint="eastAsia"/>
                <w:lang w:eastAsia="zh-CN"/>
              </w:rPr>
              <w:t>）</w:t>
            </w:r>
            <w:r>
              <w:rPr>
                <w:rFonts w:eastAsia="宋体" w:hint="eastAsia"/>
              </w:rPr>
              <w:t>触控；具有人脸识别前置摄像头；</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.18</w:t>
            </w:r>
            <w:r>
              <w:rPr>
                <w:rFonts w:eastAsia="宋体" w:hint="eastAsia"/>
              </w:rPr>
              <w:t>.</w:t>
            </w:r>
            <w:r>
              <w:t>▲</w:t>
            </w:r>
            <w:r>
              <w:rPr>
                <w:rFonts w:eastAsia="宋体" w:hint="eastAsia"/>
              </w:rPr>
              <w:t>处理器：不低于</w:t>
            </w:r>
            <w:r>
              <w:t>4</w:t>
            </w:r>
            <w:r>
              <w:rPr>
                <w:rFonts w:eastAsia="宋体" w:hint="eastAsia"/>
              </w:rPr>
              <w:t>核</w:t>
            </w:r>
            <w:r>
              <w:t>64</w:t>
            </w:r>
            <w:r>
              <w:rPr>
                <w:rFonts w:eastAsia="宋体" w:hint="eastAsia"/>
              </w:rPr>
              <w:t>位处理器，主频不低于</w:t>
            </w:r>
            <w:r>
              <w:t>2.0GHz</w:t>
            </w:r>
            <w:r>
              <w:rPr>
                <w:rFonts w:eastAsia="宋体" w:hint="eastAsia"/>
              </w:rPr>
              <w:t>的国产</w:t>
            </w:r>
            <w:r>
              <w:t>CPU</w:t>
            </w:r>
            <w:r>
              <w:rPr>
                <w:rFonts w:eastAsia="宋体" w:hint="eastAsia"/>
              </w:rPr>
              <w:t>；算力不低于</w:t>
            </w:r>
            <w:r>
              <w:t xml:space="preserve">1Tops </w:t>
            </w:r>
            <w:r>
              <w:rPr>
                <w:rFonts w:eastAsia="宋体" w:hint="eastAsia"/>
              </w:rPr>
              <w:t>国产</w:t>
            </w:r>
            <w:r>
              <w:t>NPU</w:t>
            </w:r>
            <w:r>
              <w:rPr>
                <w:rFonts w:eastAsia="宋体" w:hint="eastAsia"/>
              </w:rPr>
              <w:t>（提供第三方检测机构出具的带有</w:t>
            </w:r>
            <w:r>
              <w:t>CMA</w:t>
            </w:r>
            <w:r>
              <w:rPr>
                <w:rFonts w:eastAsia="宋体" w:hint="eastAsia"/>
              </w:rPr>
              <w:t>或</w:t>
            </w:r>
            <w:r>
              <w:t>CNAS</w:t>
            </w:r>
            <w:r>
              <w:rPr>
                <w:rFonts w:eastAsia="宋体" w:hint="eastAsia"/>
              </w:rPr>
              <w:t>标识合格的检验检测报告，报告内容能体现满足上述参数要求）；</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.19</w:t>
            </w:r>
            <w:r>
              <w:rPr>
                <w:rFonts w:ascii="宋体" w:eastAsia="宋体" w:hAnsi="宋体" w:cs="宋体" w:hint="eastAsia"/>
              </w:rPr>
              <w:t>.内存：</w:t>
            </w:r>
            <w:r>
              <w:t>≥4G</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.20</w:t>
            </w:r>
            <w:r>
              <w:rPr>
                <w:rFonts w:ascii="宋体" w:eastAsia="宋体" w:hAnsi="宋体" w:cs="宋体" w:hint="eastAsia"/>
              </w:rPr>
              <w:t>.存储：</w:t>
            </w:r>
            <w:r>
              <w:t>≥32GB</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.21</w:t>
            </w:r>
            <w:r>
              <w:rPr>
                <w:rFonts w:eastAsia="宋体" w:hint="eastAsia"/>
              </w:rPr>
              <w:t>.终端操作系统：内置开机自启动的安卓操作系统；</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.22</w:t>
            </w:r>
            <w:r>
              <w:rPr>
                <w:rFonts w:eastAsia="宋体" w:hint="eastAsia"/>
              </w:rPr>
              <w:t>.屏幕需采用全贴合的方式，避免设备长期使用后的触控失灵；玻璃盖板需要采用钢化，避免破碎时对学生造成伤害；</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.23</w:t>
            </w:r>
            <w:r>
              <w:rPr>
                <w:rFonts w:eastAsia="宋体" w:hint="eastAsia"/>
              </w:rPr>
              <w:t>.</w:t>
            </w:r>
            <w:r>
              <w:t>220V</w:t>
            </w:r>
            <w:r>
              <w:rPr>
                <w:rFonts w:eastAsia="宋体" w:hint="eastAsia"/>
              </w:rPr>
              <w:t>持续供电或</w:t>
            </w:r>
            <w:r>
              <w:t>POE</w:t>
            </w:r>
            <w:r>
              <w:rPr>
                <w:rFonts w:eastAsia="宋体" w:hint="eastAsia"/>
              </w:rPr>
              <w:t>供电；至少</w:t>
            </w:r>
            <w:r>
              <w:t>2</w:t>
            </w:r>
            <w:r>
              <w:rPr>
                <w:rFonts w:eastAsia="宋体" w:hint="eastAsia"/>
              </w:rPr>
              <w:t>个</w:t>
            </w:r>
            <w:r>
              <w:t>USB</w:t>
            </w:r>
            <w:r>
              <w:rPr>
                <w:rFonts w:eastAsia="宋体" w:hint="eastAsia"/>
              </w:rPr>
              <w:t>可用外部扩展接口，其中至少</w:t>
            </w:r>
            <w:r>
              <w:t>1</w:t>
            </w:r>
            <w:r>
              <w:rPr>
                <w:rFonts w:eastAsia="宋体" w:hint="eastAsia"/>
              </w:rPr>
              <w:t>个</w:t>
            </w:r>
            <w:r>
              <w:t>USB 3.0</w:t>
            </w:r>
            <w:r>
              <w:rPr>
                <w:rFonts w:eastAsia="宋体" w:hint="eastAsia"/>
              </w:rPr>
              <w:t>接口；其中至少有</w:t>
            </w:r>
            <w:r>
              <w:t>1</w:t>
            </w:r>
            <w:r>
              <w:rPr>
                <w:rFonts w:eastAsia="宋体" w:hint="eastAsia"/>
              </w:rPr>
              <w:t>个</w:t>
            </w:r>
            <w:r>
              <w:t>USB</w:t>
            </w:r>
            <w:r>
              <w:rPr>
                <w:rFonts w:eastAsia="宋体" w:hint="eastAsia"/>
              </w:rPr>
              <w:t>接口支持电子目镜或数码显微镜；</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w:t>
            </w:r>
            <w:r>
              <w:t>1.24</w:t>
            </w:r>
            <w:r>
              <w:rPr>
                <w:rFonts w:ascii="宋体" w:eastAsia="宋体" w:hAnsi="宋体" w:cs="宋体" w:hint="eastAsia"/>
              </w:rPr>
              <w:t>.至少</w:t>
            </w:r>
            <w:r>
              <w:t>3</w:t>
            </w:r>
            <w:r>
              <w:rPr>
                <w:rFonts w:ascii="宋体" w:eastAsia="宋体" w:hAnsi="宋体" w:cs="宋体" w:hint="eastAsia"/>
              </w:rPr>
              <w:t>个</w:t>
            </w:r>
            <w:r>
              <w:t>10/100M</w:t>
            </w:r>
            <w:r>
              <w:rPr>
                <w:rFonts w:ascii="宋体" w:eastAsia="宋体" w:hAnsi="宋体" w:cs="宋体" w:hint="eastAsia"/>
              </w:rPr>
              <w:t>自适应高速转发数据传输</w:t>
            </w:r>
            <w:r>
              <w:t>RJ45</w:t>
            </w:r>
            <w:r>
              <w:rPr>
                <w:rFonts w:ascii="宋体" w:eastAsia="宋体" w:hAnsi="宋体" w:cs="宋体" w:hint="eastAsia"/>
              </w:rPr>
              <w:t>端口，提供</w:t>
            </w:r>
            <w:r>
              <w:t>1</w:t>
            </w:r>
            <w:r>
              <w:rPr>
                <w:rFonts w:ascii="宋体" w:eastAsia="宋体" w:hAnsi="宋体" w:cs="宋体" w:hint="eastAsia"/>
              </w:rPr>
              <w:t>个</w:t>
            </w:r>
            <w:r>
              <w:t>10/100Mpbs RJ45</w:t>
            </w:r>
            <w:r>
              <w:rPr>
                <w:rFonts w:ascii="宋体" w:eastAsia="宋体" w:hAnsi="宋体" w:cs="宋体" w:hint="eastAsia"/>
              </w:rPr>
              <w:t>上联端口</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.25</w:t>
            </w:r>
            <w:r>
              <w:rPr>
                <w:rFonts w:eastAsia="宋体" w:hint="eastAsia"/>
              </w:rPr>
              <w:t>.核心操作区：放置或粘贴在实验桌上，用于引导学生在核心区域操作，完成整个实验；</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1</w:t>
            </w:r>
            <w:r>
              <w:rPr>
                <w:rFonts w:eastAsiaTheme="minorEastAsia" w:hint="eastAsia"/>
              </w:rPr>
              <w:t>1</w:t>
            </w:r>
            <w:r>
              <w:t>.26</w:t>
            </w:r>
            <w:r>
              <w:rPr>
                <w:rFonts w:eastAsia="宋体" w:hint="eastAsia"/>
              </w:rPr>
              <w:t>.数据标准要求：视频格式为标准的</w:t>
            </w:r>
            <w:r>
              <w:t xml:space="preserve"> mp4 </w:t>
            </w:r>
            <w:r>
              <w:rPr>
                <w:rFonts w:eastAsia="宋体" w:hint="eastAsia"/>
              </w:rPr>
              <w:t>格式；视频大小要求单个</w:t>
            </w:r>
            <w:r>
              <w:t xml:space="preserve"> 5 </w:t>
            </w:r>
            <w:r>
              <w:rPr>
                <w:rFonts w:eastAsia="宋体" w:hint="eastAsia"/>
              </w:rPr>
              <w:t>分钟时长的视频应不大于</w:t>
            </w:r>
            <w:r>
              <w:t>200MB</w:t>
            </w:r>
            <w:r>
              <w:rPr>
                <w:rFonts w:eastAsia="宋体" w:hint="eastAsia"/>
              </w:rPr>
              <w:t>；视频同步要求每位考生实验操作考试的双路或多路视频图像播放全程应保持相互时延小于</w:t>
            </w:r>
            <w:r>
              <w:t xml:space="preserve">100 </w:t>
            </w:r>
            <w:r>
              <w:rPr>
                <w:rFonts w:eastAsia="宋体" w:hint="eastAsia"/>
              </w:rPr>
              <w:t>毫秒；视频图像要求需完整录制俯视角、侧视角中所有实验操作过程和评分点细节；答题卡图像要求标准的</w:t>
            </w:r>
            <w:r>
              <w:t xml:space="preserve">JPG </w:t>
            </w:r>
            <w:r>
              <w:rPr>
                <w:rFonts w:eastAsia="宋体" w:hint="eastAsia"/>
              </w:rPr>
              <w:t>格式，像素不低于</w:t>
            </w:r>
            <w:r>
              <w:t>200</w:t>
            </w:r>
            <w:r>
              <w:rPr>
                <w:rFonts w:eastAsia="宋体" w:hint="eastAsia"/>
              </w:rPr>
              <w:t>万像素，单张图片大小不大于</w:t>
            </w:r>
            <w:r>
              <w:t>5MB</w:t>
            </w:r>
            <w:r>
              <w:rPr>
                <w:rFonts w:eastAsia="宋体" w:hint="eastAsia"/>
              </w:rPr>
              <w:t>，支持</w:t>
            </w:r>
            <w:r>
              <w:t>4:3</w:t>
            </w:r>
            <w:r>
              <w:rPr>
                <w:rFonts w:eastAsia="宋体" w:hint="eastAsia"/>
              </w:rPr>
              <w:t>长宽比。</w:t>
            </w:r>
          </w:p>
        </w:tc>
      </w:tr>
      <w:tr>
        <w:tblPrEx>
          <w:tblW w:w="4994" w:type="pct"/>
          <w:tblInd w:w="0" w:type="dxa"/>
          <w:tblCellMar>
            <w:top w:w="0" w:type="dxa"/>
            <w:left w:w="108" w:type="dxa"/>
            <w:bottom w:w="0" w:type="dxa"/>
            <w:right w:w="108" w:type="dxa"/>
          </w:tblCellMar>
        </w:tblPrEx>
        <w:trPr>
          <w:trHeight w:val="400"/>
        </w:trPr>
        <w:tc>
          <w:tcPr>
            <w:tcW w:w="3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12</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核心操作垫</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12.核心操作垫，用于标注实验考试操作拍摄区域</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right w:val="single" w:sz="4" w:space="0" w:color="000000"/>
            </w:tcBorders>
            <w:shd w:val="clear" w:color="auto" w:fill="auto"/>
            <w:noWrap/>
            <w:vAlign w:val="center"/>
          </w:tcPr>
          <w:p>
            <w:pPr>
              <w:rPr>
                <w:rFonts w:eastAsia="宋体"/>
              </w:rPr>
            </w:pPr>
            <w:r>
              <w:rPr>
                <w:rFonts w:eastAsia="宋体" w:hint="eastAsia"/>
              </w:rPr>
              <w:t>13</w:t>
            </w:r>
          </w:p>
        </w:tc>
        <w:tc>
          <w:tcPr>
            <w:tcW w:w="384" w:type="pct"/>
            <w:vMerge w:val="restart"/>
            <w:tcBorders>
              <w:top w:val="single" w:sz="4" w:space="0" w:color="000000"/>
              <w:left w:val="single" w:sz="4" w:space="0" w:color="000000"/>
              <w:right w:val="single" w:sz="4" w:space="0" w:color="000000"/>
            </w:tcBorders>
            <w:shd w:val="clear" w:color="auto" w:fill="auto"/>
            <w:vAlign w:val="center"/>
          </w:tcPr>
          <w:p>
            <w:pPr>
              <w:rPr>
                <w:rFonts w:eastAsia="宋体"/>
              </w:rPr>
            </w:pPr>
            <w:r>
              <w:rPr>
                <w:rStyle w:val="font31"/>
                <w:rFonts w:hint="default"/>
              </w:rPr>
              <w:t>学生实验操作平台</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ascii="宋体" w:eastAsia="宋体" w:hAnsi="宋体" w:cs="宋体" w:hint="eastAsia"/>
              </w:rPr>
              <w:t>测评模式：</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13.1.</w:t>
            </w:r>
            <w:r>
              <w:rPr>
                <w:rFonts w:ascii="宋体" w:eastAsia="宋体" w:hAnsi="宋体" w:cs="宋体" w:hint="eastAsia"/>
              </w:rPr>
              <w:t>考生可根据抽签结果对身份信息进行确认；</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13.2.</w:t>
            </w:r>
            <w:r>
              <w:rPr>
                <w:rFonts w:ascii="宋体" w:eastAsia="宋体" w:hAnsi="宋体" w:cs="宋体" w:hint="eastAsia"/>
              </w:rPr>
              <w:t>支持考试时间</w:t>
            </w:r>
            <w:r>
              <w:rPr>
                <w:rFonts w:ascii="宋体" w:eastAsia="宋体" w:hAnsi="宋体" w:cs="宋体" w:hint="eastAsia"/>
                <w:lang w:eastAsia="zh-CN"/>
              </w:rPr>
              <w:t>倒计时</w:t>
            </w:r>
            <w:r>
              <w:rPr>
                <w:rFonts w:ascii="宋体" w:eastAsia="宋体" w:hAnsi="宋体" w:cs="宋体" w:hint="eastAsia"/>
              </w:rPr>
              <w:t>，当时间到时对考生能够进行友好提示；</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13.3.</w:t>
            </w:r>
            <w:r>
              <w:rPr>
                <w:rFonts w:ascii="宋体" w:eastAsia="宋体" w:hAnsi="宋体" w:cs="宋体" w:hint="eastAsia"/>
              </w:rPr>
              <w:t>支持对考生操作画面的实时反馈显示，实时显示</w:t>
            </w:r>
            <w:r>
              <w:t>2</w:t>
            </w:r>
            <w:r>
              <w:rPr>
                <w:rFonts w:ascii="宋体" w:eastAsia="宋体" w:hAnsi="宋体" w:cs="宋体" w:hint="eastAsia"/>
              </w:rPr>
              <w:t>个摄像头的画面，确保画面清晰且无明显延迟；</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13.4.</w:t>
            </w:r>
            <w:r>
              <w:rPr>
                <w:rFonts w:ascii="宋体" w:eastAsia="宋体" w:hAnsi="宋体" w:cs="宋体" w:hint="eastAsia"/>
              </w:rPr>
              <w:t>考生提交考试结果后，系统要对视频数据进行校验，校验完整后再提示学生离开；</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13.5.</w:t>
            </w:r>
            <w:r>
              <w:t>▲</w:t>
            </w:r>
            <w:r>
              <w:rPr>
                <w:rFonts w:eastAsia="宋体" w:hint="eastAsia"/>
              </w:rPr>
              <w:t>考生主动交卷时能够友好提示和二次确认，避免考生误交卷；考生的视频文件需要在</w:t>
            </w:r>
            <w:r>
              <w:t>5</w:t>
            </w:r>
            <w:r>
              <w:rPr>
                <w:rFonts w:eastAsia="宋体" w:hint="eastAsia"/>
              </w:rPr>
              <w:t>秒内完整上传至实验测评平台（投标时提供所投产品或所提供产品系列满足该技术要求的具有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13.6.</w:t>
            </w:r>
            <w:r>
              <w:rPr>
                <w:rFonts w:ascii="宋体" w:eastAsia="宋体" w:hAnsi="宋体" w:cs="宋体" w:hint="eastAsia"/>
              </w:rPr>
              <w:t>为节省数据存储空间，考生测评时生产的视频文件为</w:t>
            </w:r>
            <w:r>
              <w:t>H.265</w:t>
            </w:r>
            <w:r>
              <w:rPr>
                <w:rFonts w:ascii="宋体" w:eastAsia="宋体" w:hAnsi="宋体" w:cs="宋体" w:hint="eastAsia"/>
              </w:rPr>
              <w:t>编码；</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ascii="宋体" w:eastAsia="宋体" w:hAnsi="宋体" w:cs="宋体" w:hint="eastAsia"/>
              </w:rPr>
              <w:t>教学模式：</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13.7.</w:t>
            </w:r>
            <w:r>
              <w:rPr>
                <w:rFonts w:ascii="宋体" w:eastAsia="宋体" w:hAnsi="宋体" w:cs="宋体" w:hint="eastAsia"/>
              </w:rPr>
              <w:t>学生在进行练习提交操作时，平台进行友好提示和二次确认，避免学生误操作；</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13.8.</w:t>
            </w:r>
            <w:r>
              <w:t>▲</w:t>
            </w:r>
            <w:r>
              <w:rPr>
                <w:rFonts w:eastAsia="宋体" w:hint="eastAsia"/>
              </w:rPr>
              <w:t>支持录制保存学生实验操作过程；支持学生在教学课程中反复练习并录制其操作过程；学生操作视频需要在</w:t>
            </w:r>
            <w:r>
              <w:t>5</w:t>
            </w:r>
            <w:r>
              <w:rPr>
                <w:rFonts w:eastAsia="宋体" w:hint="eastAsia"/>
              </w:rPr>
              <w:t>秒内完整上传至教学平台，以便老师能够进行针对性点评讲解（投标时提供所投产品或所提供产品系列满足该技术要求的具有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13.9.</w:t>
            </w:r>
            <w:r>
              <w:rPr>
                <w:rFonts w:ascii="宋体" w:eastAsia="宋体" w:hAnsi="宋体" w:cs="宋体" w:hint="eastAsia"/>
              </w:rPr>
              <w:t>为节省数据存储空间，学生课堂练习时生产的视频文件为</w:t>
            </w:r>
            <w:r>
              <w:t>H.265</w:t>
            </w:r>
            <w:r>
              <w:rPr>
                <w:rFonts w:ascii="宋体" w:eastAsia="宋体" w:hAnsi="宋体" w:cs="宋体" w:hint="eastAsia"/>
              </w:rPr>
              <w:t>编码；</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w:t>
            </w:r>
            <w:r>
              <w:t>.10</w:t>
            </w:r>
            <w:r>
              <w:rPr>
                <w:rFonts w:eastAsia="宋体" w:hint="eastAsia"/>
              </w:rPr>
              <w:t>.自学模式：</w:t>
            </w:r>
          </w:p>
          <w:p>
            <w:pPr>
              <w:rPr>
                <w:rFonts w:eastAsia="宋体"/>
              </w:rPr>
            </w:pPr>
            <w:r>
              <w:rPr>
                <w:rFonts w:ascii="宋体" w:eastAsia="宋体" w:hAnsi="宋体" w:cs="宋体" w:hint="eastAsia"/>
              </w:rPr>
              <w:t>支持学生自主登</w:t>
            </w:r>
            <w:r>
              <w:rPr>
                <w:rFonts w:ascii="宋体" w:eastAsia="宋体" w:hAnsi="宋体" w:cs="宋体" w:hint="eastAsia"/>
                <w:lang w:eastAsia="zh-CN"/>
              </w:rPr>
              <w:t>录</w:t>
            </w:r>
            <w:r>
              <w:rPr>
                <w:rFonts w:ascii="宋体" w:eastAsia="宋体" w:hAnsi="宋体" w:cs="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13.11.</w:t>
            </w:r>
            <w:r>
              <w:rPr>
                <w:rFonts w:ascii="宋体" w:eastAsia="宋体" w:hAnsi="宋体" w:cs="宋体" w:hint="eastAsia"/>
              </w:rPr>
              <w:t>支持学生选择特定实验进行练习操作；</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13.12.</w:t>
            </w:r>
            <w:r>
              <w:rPr>
                <w:rFonts w:ascii="宋体" w:eastAsia="宋体" w:hAnsi="宋体" w:cs="宋体" w:hint="eastAsia"/>
              </w:rPr>
              <w:t>支持学生播放课程的示范视频；</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ascii="宋体" w:eastAsia="宋体" w:hAnsi="宋体" w:cs="宋体"/>
              </w:rPr>
            </w:pPr>
            <w:r>
              <w:rPr>
                <w:rFonts w:eastAsiaTheme="minorEastAsia" w:hint="eastAsia"/>
              </w:rPr>
              <w:t>13.13.</w:t>
            </w:r>
            <w:r>
              <w:rPr>
                <w:rFonts w:ascii="宋体" w:eastAsia="宋体" w:hAnsi="宋体" w:cs="宋体" w:hint="eastAsia"/>
              </w:rPr>
              <w:t>基础功能：</w:t>
            </w:r>
          </w:p>
          <w:p>
            <w:pPr>
              <w:rPr>
                <w:rFonts w:eastAsia="宋体"/>
              </w:rPr>
            </w:pPr>
            <w:r>
              <w:rPr>
                <w:rFonts w:ascii="宋体" w:eastAsia="宋体" w:hAnsi="宋体" w:cs="宋体" w:hint="eastAsia"/>
              </w:rPr>
              <w:t>支持接入电子目镜或数码显微镜画面等实验数据，屏幕可显示显微镜画面，支持在显微镜拍照图像上涂写；</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t>2.14</w:t>
            </w:r>
            <w:r>
              <w:rPr>
                <w:rFonts w:ascii="宋体" w:eastAsia="宋体" w:hAnsi="宋体" w:cs="宋体" w:hint="eastAsia"/>
              </w:rPr>
              <w:t>.内置开机自启动的实验操作平台，在使用过程中不可随意操作退出；</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w:t>
            </w:r>
            <w:r>
              <w:t>.15</w:t>
            </w:r>
            <w:r>
              <w:rPr>
                <w:rFonts w:ascii="宋体" w:eastAsia="宋体" w:hAnsi="宋体" w:cs="宋体" w:hint="eastAsia"/>
              </w:rPr>
              <w:t>.设备未注册前，设备启动需要进入自学模式，方便对设备本身进行系统验证；</w:t>
            </w:r>
          </w:p>
        </w:tc>
      </w:tr>
      <w:tr>
        <w:tblPrEx>
          <w:tblW w:w="4994" w:type="pct"/>
          <w:tblInd w:w="0" w:type="dxa"/>
          <w:tblCellMar>
            <w:top w:w="0" w:type="dxa"/>
            <w:left w:w="108" w:type="dxa"/>
            <w:bottom w:w="0" w:type="dxa"/>
            <w:right w:w="108" w:type="dxa"/>
          </w:tblCellMar>
        </w:tblPrEx>
        <w:trPr>
          <w:trHeight w:val="400"/>
        </w:trPr>
        <w:tc>
          <w:tcPr>
            <w:tcW w:w="380" w:type="pct"/>
            <w:vMerge/>
            <w:tcBorders>
              <w:left w:val="single" w:sz="4" w:space="0" w:color="000000"/>
              <w:right w:val="single" w:sz="4" w:space="0" w:color="000000"/>
            </w:tcBorders>
            <w:shd w:val="clear" w:color="auto" w:fill="auto"/>
            <w:noWrap/>
            <w:vAlign w:val="center"/>
          </w:tcPr>
          <w:p>
            <w:pPr>
              <w:rPr>
                <w:rFonts w:eastAsia="宋体"/>
              </w:rPr>
            </w:pPr>
          </w:p>
        </w:tc>
        <w:tc>
          <w:tcPr>
            <w:tcW w:w="384" w:type="pct"/>
            <w:vMerge/>
            <w:tcBorders>
              <w:left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13</w:t>
            </w:r>
            <w:r>
              <w:t>.16</w:t>
            </w:r>
            <w:r>
              <w:rPr>
                <w:rFonts w:ascii="宋体" w:eastAsia="宋体" w:hAnsi="宋体" w:cs="宋体" w:hint="eastAsia"/>
              </w:rPr>
              <w:t>.</w:t>
            </w:r>
            <w:r>
              <w:t>▲</w:t>
            </w:r>
            <w:r>
              <w:rPr>
                <w:rFonts w:ascii="宋体" w:eastAsia="宋体" w:hAnsi="宋体" w:cs="宋体" w:hint="eastAsia"/>
              </w:rPr>
              <w:t>设备支持配置设备</w:t>
            </w:r>
            <w:r>
              <w:t>IP</w:t>
            </w:r>
            <w:r>
              <w:rPr>
                <w:rFonts w:ascii="宋体" w:eastAsia="宋体" w:hAnsi="宋体" w:cs="宋体" w:hint="eastAsia"/>
              </w:rPr>
              <w:t>、顶视和侧视摄像头</w:t>
            </w:r>
            <w:r>
              <w:t>IP</w:t>
            </w:r>
            <w:r>
              <w:rPr>
                <w:rFonts w:ascii="宋体" w:eastAsia="宋体" w:hAnsi="宋体" w:cs="宋体" w:hint="eastAsia"/>
              </w:rPr>
              <w:t>及服务器</w:t>
            </w:r>
            <w:r>
              <w:t>IP</w:t>
            </w:r>
            <w:r>
              <w:rPr>
                <w:rFonts w:ascii="宋体" w:eastAsia="宋体" w:hAnsi="宋体" w:cs="宋体" w:hint="eastAsia"/>
              </w:rPr>
              <w:t>，便于设备向平台进行注册；支持在终端查看存储的视频文件的</w:t>
            </w:r>
            <w:r>
              <w:t>MD5</w:t>
            </w:r>
            <w:r>
              <w:rPr>
                <w:rFonts w:ascii="宋体" w:eastAsia="宋体" w:hAnsi="宋体" w:cs="宋体" w:hint="eastAsia"/>
              </w:rPr>
              <w:t>码值，用于校验终端和管理平台的视频文件一致。（投标时提供所投产品或所提供产品系列满足该技术要求的具有</w:t>
            </w:r>
            <w:r>
              <w:t>CNAS</w:t>
            </w:r>
            <w:r>
              <w:rPr>
                <w:rFonts w:ascii="宋体" w:eastAsia="宋体" w:hAnsi="宋体" w:cs="宋体" w:hint="eastAsia"/>
              </w:rPr>
              <w:t>和</w:t>
            </w:r>
            <w:r>
              <w:t>CMA</w:t>
            </w:r>
            <w:r>
              <w:rPr>
                <w:rFonts w:ascii="宋体" w:eastAsia="宋体" w:hAnsi="宋体" w:cs="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14</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 xml:space="preserve">考场屏蔽终端 </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14.1.</w:t>
            </w:r>
            <w:r>
              <w:rPr>
                <w:rFonts w:ascii="宋体" w:eastAsia="宋体" w:hAnsi="宋体" w:cs="宋体" w:hint="eastAsia"/>
              </w:rPr>
              <w:t>支持多路分段独立屏蔽技术，支持屏蔽</w:t>
            </w:r>
            <w:r>
              <w:t>GSM900</w:t>
            </w:r>
            <w:r>
              <w:rPr>
                <w:rFonts w:ascii="宋体" w:eastAsia="宋体" w:hAnsi="宋体" w:cs="宋体" w:hint="eastAsia"/>
              </w:rPr>
              <w:t>、</w:t>
            </w:r>
            <w:r>
              <w:t>DCS1800</w:t>
            </w:r>
            <w:r>
              <w:rPr>
                <w:rFonts w:ascii="宋体" w:eastAsia="宋体" w:hAnsi="宋体" w:cs="宋体" w:hint="eastAsia"/>
              </w:rPr>
              <w:t>、</w:t>
            </w:r>
            <w:r>
              <w:t>PCS1900</w:t>
            </w:r>
            <w:r>
              <w:rPr>
                <w:rFonts w:ascii="宋体" w:eastAsia="宋体" w:hAnsi="宋体" w:cs="宋体" w:hint="eastAsia"/>
              </w:rPr>
              <w:t>、</w:t>
            </w:r>
            <w:r>
              <w:t>CDMA</w:t>
            </w:r>
            <w:r>
              <w:rPr>
                <w:rFonts w:ascii="宋体" w:eastAsia="宋体" w:hAnsi="宋体" w:cs="宋体" w:hint="eastAsia"/>
              </w:rPr>
              <w:t>、</w:t>
            </w:r>
            <w:r>
              <w:t>3G</w:t>
            </w:r>
            <w:r>
              <w:rPr>
                <w:rFonts w:ascii="宋体" w:eastAsia="宋体" w:hAnsi="宋体" w:cs="宋体" w:hint="eastAsia"/>
              </w:rPr>
              <w:t>、</w:t>
            </w:r>
            <w:r>
              <w:t>4G</w:t>
            </w:r>
            <w:r>
              <w:rPr>
                <w:rFonts w:ascii="宋体" w:eastAsia="宋体" w:hAnsi="宋体" w:cs="宋体" w:hint="eastAsia"/>
              </w:rPr>
              <w:t>、</w:t>
            </w:r>
            <w:r>
              <w:t>5G</w:t>
            </w:r>
            <w:r>
              <w:rPr>
                <w:rFonts w:ascii="宋体" w:eastAsia="宋体" w:hAnsi="宋体" w:cs="宋体" w:hint="eastAsia"/>
              </w:rPr>
              <w:t>等手机信号和</w:t>
            </w:r>
            <w:r>
              <w:t>WIFI</w:t>
            </w:r>
            <w:r>
              <w:rPr>
                <w:rFonts w:eastAsia="宋体" w:hint="eastAsia"/>
                <w:lang w:eastAsia="zh-CN"/>
              </w:rPr>
              <w:t>（</w:t>
            </w:r>
            <w:r>
              <w:t>2.4G+5.2G+5.8G</w:t>
            </w:r>
            <w:r>
              <w:rPr>
                <w:rFonts w:eastAsia="宋体" w:hint="eastAsia"/>
                <w:lang w:eastAsia="zh-CN"/>
              </w:rPr>
              <w:t>）</w:t>
            </w:r>
            <w:r>
              <w:rPr>
                <w:rFonts w:ascii="宋体" w:eastAsia="宋体" w:hAnsi="宋体" w:cs="宋体" w:hint="eastAsia"/>
              </w:rPr>
              <w:t>信号，或以手机无线频段为媒介的信息传输电子表等无线作弊设备；</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14.2.</w:t>
            </w:r>
            <w:r>
              <w:rPr>
                <w:rFonts w:ascii="宋体" w:eastAsia="宋体" w:hAnsi="宋体" w:cs="宋体" w:hint="eastAsia"/>
              </w:rPr>
              <w:t>支持</w:t>
            </w:r>
            <w:r>
              <w:t>EPM</w:t>
            </w:r>
            <w:r>
              <w:rPr>
                <w:rFonts w:ascii="宋体" w:eastAsia="宋体" w:hAnsi="宋体" w:cs="宋体" w:hint="eastAsia"/>
              </w:rPr>
              <w:t>增强型能源管理设计，内置电源和天线；</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14.3.</w:t>
            </w:r>
            <w:r>
              <w:rPr>
                <w:rFonts w:eastAsia="宋体" w:hint="eastAsia"/>
              </w:rPr>
              <w:t>不干扰</w:t>
            </w:r>
            <w:r>
              <w:rPr>
                <w:rFonts w:eastAsia="宋体" w:hint="eastAsia"/>
                <w:lang w:eastAsia="zh-CN"/>
              </w:rPr>
              <w:t>其他</w:t>
            </w:r>
            <w:r>
              <w:rPr>
                <w:rFonts w:eastAsia="宋体" w:hint="eastAsia"/>
              </w:rPr>
              <w:t>电子教学设备工作；</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14.4.</w:t>
            </w:r>
            <w:r>
              <w:rPr>
                <w:rFonts w:eastAsia="宋体" w:hint="eastAsia"/>
              </w:rPr>
              <w:t>每路平均发射功率</w:t>
            </w:r>
            <w:r>
              <w:t>2</w:t>
            </w:r>
            <w:r>
              <w:rPr>
                <w:rFonts w:eastAsia="宋体" w:hint="eastAsia"/>
                <w:lang w:eastAsia="zh-CN"/>
              </w:rPr>
              <w:t>—</w:t>
            </w:r>
            <w:r>
              <w:t>5W</w:t>
            </w:r>
            <w:r>
              <w:rPr>
                <w:rFonts w:eastAsia="宋体" w:hint="eastAsia"/>
              </w:rPr>
              <w:t>（此范围任意值均可），有效屏蔽距离</w:t>
            </w:r>
            <w:r>
              <w:t>≤30</w:t>
            </w:r>
            <w:r>
              <w:rPr>
                <w:rFonts w:eastAsia="宋体" w:hint="eastAsia"/>
              </w:rPr>
              <w:t>米，整机功耗</w:t>
            </w:r>
            <w:r>
              <w:t>≤80W</w:t>
            </w:r>
            <w:r>
              <w:rPr>
                <w:rFonts w:eastAsia="宋体" w:hint="eastAsia"/>
              </w:rPr>
              <w:t>（视使用场所信号强弱情况）；</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14.5.</w:t>
            </w:r>
            <w:r>
              <w:rPr>
                <w:rFonts w:eastAsia="宋体" w:hint="eastAsia"/>
              </w:rPr>
              <w:t>支持可调节每台设备每频段功率大小；</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14.6.</w:t>
            </w:r>
            <w:r>
              <w:t>▲</w:t>
            </w:r>
            <w:r>
              <w:rPr>
                <w:rFonts w:eastAsia="宋体" w:hint="eastAsia"/>
              </w:rPr>
              <w:t>所提供的产品符合</w:t>
            </w:r>
            <w:r>
              <w:t>GA/T 1169-2014</w:t>
            </w:r>
            <w:r>
              <w:rPr>
                <w:rFonts w:eastAsia="宋体" w:hint="eastAsia"/>
              </w:rPr>
              <w:t>《警用电子封控设备技术规范》，屏蔽频段包括第</w:t>
            </w:r>
            <w:r>
              <w:t>1</w:t>
            </w:r>
            <w:r>
              <w:rPr>
                <w:rFonts w:eastAsia="宋体" w:hint="eastAsia"/>
              </w:rPr>
              <w:t>信道至第</w:t>
            </w:r>
            <w:r>
              <w:t>11</w:t>
            </w:r>
            <w:r>
              <w:rPr>
                <w:rFonts w:eastAsia="宋体" w:hint="eastAsia"/>
              </w:rPr>
              <w:t>信道，经测试合格。高温试验：产品能在温度</w:t>
            </w:r>
            <w:r>
              <w:t>45±2</w:t>
            </w:r>
            <w:r>
              <w:rPr>
                <w:rFonts w:hint="eastAsia"/>
              </w:rPr>
              <w:t>℃</w:t>
            </w:r>
            <w:r>
              <w:rPr>
                <w:rFonts w:eastAsia="宋体" w:hint="eastAsia"/>
              </w:rPr>
              <w:t>、持续时间</w:t>
            </w:r>
            <w:r>
              <w:t>2h</w:t>
            </w:r>
            <w:r>
              <w:rPr>
                <w:rFonts w:eastAsia="宋体" w:hint="eastAsia"/>
              </w:rPr>
              <w:t>的试验环境中，能正常工作（投标时提供所投产品或所提供产品系列满足该技术要求的具有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14.7.</w:t>
            </w:r>
            <w:r>
              <w:rPr>
                <w:rFonts w:ascii="宋体" w:eastAsia="宋体" w:hAnsi="宋体" w:cs="宋体" w:hint="eastAsia"/>
              </w:rPr>
              <w:t>低温试验：产品能在温度</w:t>
            </w:r>
            <w:r>
              <w:t>-20±2</w:t>
            </w:r>
            <w:r>
              <w:rPr>
                <w:rFonts w:hint="eastAsia"/>
              </w:rPr>
              <w:t>℃</w:t>
            </w:r>
            <w:r>
              <w:rPr>
                <w:rFonts w:ascii="宋体" w:eastAsia="宋体" w:hAnsi="宋体" w:cs="宋体" w:hint="eastAsia"/>
              </w:rPr>
              <w:t>、持续时间</w:t>
            </w:r>
            <w:r>
              <w:t>2h</w:t>
            </w:r>
            <w:r>
              <w:rPr>
                <w:rFonts w:ascii="宋体" w:eastAsia="宋体" w:hAnsi="宋体" w:cs="宋体" w:hint="eastAsia"/>
              </w:rPr>
              <w:t>的试验环境中，能正常工作；</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14.8.</w:t>
            </w:r>
            <w:r>
              <w:t>▲</w:t>
            </w:r>
            <w:r>
              <w:rPr>
                <w:rFonts w:eastAsia="宋体" w:hint="eastAsia"/>
              </w:rPr>
              <w:t>绝缘电阻：安全防范报警设备的电源插头或电源引入端与外壳裸露金属部件之间的绝缘电阻，经相对湿热度为</w:t>
            </w:r>
            <w:r>
              <w:t>91%</w:t>
            </w:r>
            <w:r>
              <w:rPr>
                <w:rFonts w:eastAsia="宋体" w:hint="eastAsia"/>
                <w:lang w:eastAsia="zh-CN"/>
              </w:rPr>
              <w:t>—</w:t>
            </w:r>
            <w:r>
              <w:t>95%</w:t>
            </w:r>
            <w:r>
              <w:rPr>
                <w:rFonts w:eastAsia="宋体" w:hint="eastAsia"/>
              </w:rPr>
              <w:t>（此范围任意值均可）、温度为</w:t>
            </w:r>
            <w:r>
              <w:t>40</w:t>
            </w:r>
            <w:r>
              <w:rPr>
                <w:rFonts w:hint="eastAsia"/>
              </w:rPr>
              <w:t>℃</w:t>
            </w:r>
            <w:r>
              <w:rPr>
                <w:rFonts w:eastAsia="宋体" w:hint="eastAsia"/>
              </w:rPr>
              <w:t>、</w:t>
            </w:r>
            <w:r>
              <w:t>48h</w:t>
            </w:r>
            <w:r>
              <w:rPr>
                <w:rFonts w:eastAsia="宋体" w:hint="eastAsia"/>
              </w:rPr>
              <w:t>的受潮预处理后，加强绝缘的设备不小于</w:t>
            </w:r>
            <w:r>
              <w:t>5MΩ</w:t>
            </w:r>
            <w:r>
              <w:rPr>
                <w:rFonts w:eastAsia="宋体" w:hint="eastAsia"/>
              </w:rPr>
              <w:t>，基本绝缘的设备不小于</w:t>
            </w:r>
            <w:r>
              <w:t>2MΩ</w:t>
            </w:r>
            <w:r>
              <w:rPr>
                <w:rFonts w:eastAsia="宋体" w:hint="eastAsia"/>
              </w:rPr>
              <w:t>，</w:t>
            </w:r>
            <w:r>
              <w:t>Ⅲ</w:t>
            </w:r>
            <w:r>
              <w:rPr>
                <w:rFonts w:eastAsia="宋体" w:hint="eastAsia"/>
              </w:rPr>
              <w:t>类设备不小于</w:t>
            </w:r>
            <w:r>
              <w:t>1MΩ</w:t>
            </w:r>
            <w:r>
              <w:rPr>
                <w:rFonts w:eastAsia="宋体" w:hint="eastAsia"/>
              </w:rPr>
              <w:t>，经测试合格（投标时提供所投产品或所提供产品系列满足该技术要求的具有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15</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机柜</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15.用于交换机、路由器等19英寸网络设备的安装，具体规格要求如下：</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15.1.尺寸不低于18U，深度不低于800mm</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15.2.采用优质SPCC冷轧钢材质，坚固耐用</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15.3.机柜</w:t>
            </w:r>
            <w:r>
              <w:rPr>
                <w:rFonts w:eastAsia="宋体" w:hint="eastAsia"/>
                <w:lang w:eastAsia="zh-CN"/>
              </w:rPr>
              <w:t>底部</w:t>
            </w:r>
            <w:r>
              <w:rPr>
                <w:rFonts w:eastAsia="宋体" w:hint="eastAsia"/>
              </w:rPr>
              <w:t>均具有进线孔，便于考场内网络线缆的汇聚</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r>
              <w:rPr>
                <w:rFonts w:eastAsiaTheme="minorEastAsia" w:hint="eastAsia"/>
              </w:rPr>
              <w:t>15.4.</w:t>
            </w:r>
            <w:r>
              <w:rPr>
                <w:rFonts w:eastAsia="宋体" w:hint="eastAsia"/>
              </w:rPr>
              <w:t>机柜配套</w:t>
            </w:r>
            <w:r>
              <w:t>1</w:t>
            </w:r>
            <w:r>
              <w:rPr>
                <w:rFonts w:eastAsia="宋体" w:hint="eastAsia"/>
              </w:rPr>
              <w:t>个电源管理器，容量</w:t>
            </w:r>
            <w:r>
              <w:t>≥50A</w:t>
            </w:r>
            <w:r>
              <w:rPr>
                <w:rFonts w:eastAsia="宋体" w:hint="eastAsia"/>
              </w:rPr>
              <w:t>；</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15.5.</w:t>
            </w:r>
            <w:r>
              <w:t>▲</w:t>
            </w:r>
            <w:r>
              <w:rPr>
                <w:rFonts w:eastAsia="宋体" w:hint="eastAsia"/>
              </w:rPr>
              <w:t>配置不少于</w:t>
            </w:r>
            <w:r>
              <w:t>8</w:t>
            </w:r>
            <w:r>
              <w:rPr>
                <w:rFonts w:eastAsia="宋体" w:hint="eastAsia"/>
              </w:rPr>
              <w:t>个插座输出，采用万能插座，适用于国标、美标、欧标等各种类型插头，采用</w:t>
            </w:r>
            <w:r>
              <w:t>16A</w:t>
            </w:r>
            <w:r>
              <w:rPr>
                <w:rFonts w:eastAsia="宋体" w:hint="eastAsia"/>
              </w:rPr>
              <w:t>继电器，每个插座均采用磷铜材质（投标时提供所投产品或所提供产品系列满足该技术要求的具有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15.6.</w:t>
            </w:r>
            <w:r>
              <w:rPr>
                <w:rFonts w:eastAsia="宋体" w:hint="eastAsia"/>
              </w:rPr>
              <w:t>可控制通道时序开关，延时时间可设置；支持对独立通道进行开关控制；</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15.7.</w:t>
            </w:r>
            <w:r>
              <w:rPr>
                <w:rFonts w:ascii="宋体" w:eastAsia="宋体" w:hAnsi="宋体" w:cs="宋体" w:hint="eastAsia"/>
              </w:rPr>
              <w:t>前面板具备</w:t>
            </w:r>
            <w:r>
              <w:rPr>
                <w:rFonts w:ascii="宋体" w:eastAsia="宋体" w:hAnsi="宋体" w:cs="宋体" w:hint="eastAsia"/>
                <w:lang w:eastAsia="zh-CN"/>
              </w:rPr>
              <w:t>（</w:t>
            </w:r>
            <w:r>
              <w:t>5V/100mA</w:t>
            </w:r>
            <w:r>
              <w:rPr>
                <w:rFonts w:eastAsia="宋体" w:hint="eastAsia"/>
                <w:lang w:eastAsia="zh-CN"/>
              </w:rPr>
              <w:t>）</w:t>
            </w:r>
            <w:r>
              <w:t>USB</w:t>
            </w:r>
            <w:r>
              <w:rPr>
                <w:rFonts w:ascii="宋体" w:eastAsia="宋体" w:hAnsi="宋体" w:cs="宋体" w:hint="eastAsia"/>
              </w:rPr>
              <w:t>供电接口，可通过按键控制</w:t>
            </w:r>
            <w:r>
              <w:t>USB</w:t>
            </w:r>
            <w:r>
              <w:rPr>
                <w:rFonts w:ascii="宋体" w:eastAsia="宋体" w:hAnsi="宋体" w:cs="宋体" w:hint="eastAsia"/>
              </w:rPr>
              <w:t>供电；</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15.8.</w:t>
            </w:r>
            <w:r>
              <w:t>▲</w:t>
            </w:r>
            <w:r>
              <w:rPr>
                <w:rFonts w:eastAsia="宋体" w:hint="eastAsia"/>
              </w:rPr>
              <w:t>支持外部开关控制、外部电平（</w:t>
            </w:r>
            <w:r>
              <w:t>5V</w:t>
            </w:r>
            <w:r>
              <w:rPr>
                <w:rFonts w:eastAsia="宋体" w:hint="eastAsia"/>
                <w:lang w:eastAsia="zh-CN"/>
              </w:rPr>
              <w:t>—</w:t>
            </w:r>
            <w:r>
              <w:t>12V</w:t>
            </w:r>
            <w:r>
              <w:rPr>
                <w:rFonts w:eastAsia="宋体" w:hint="eastAsia"/>
              </w:rPr>
              <w:t>）控制</w:t>
            </w:r>
            <w:r>
              <w:t>/</w:t>
            </w:r>
            <w:r>
              <w:rPr>
                <w:rFonts w:eastAsia="宋体" w:hint="eastAsia"/>
              </w:rPr>
              <w:t>级联控制、</w:t>
            </w:r>
            <w:r>
              <w:t>TCP/IP</w:t>
            </w:r>
            <w:r>
              <w:rPr>
                <w:rFonts w:eastAsia="宋体" w:hint="eastAsia"/>
              </w:rPr>
              <w:t>控制，前面板可数码</w:t>
            </w:r>
            <w:r>
              <w:t>LED</w:t>
            </w:r>
            <w:r>
              <w:rPr>
                <w:rFonts w:eastAsia="宋体" w:hint="eastAsia"/>
              </w:rPr>
              <w:t>电压显示，误差小于</w:t>
            </w:r>
            <w:r>
              <w:t>1V</w:t>
            </w:r>
            <w:r>
              <w:rPr>
                <w:rFonts w:eastAsia="宋体" w:hint="eastAsia"/>
              </w:rPr>
              <w:t>（投标时提供所投产品或所提供产品系列满足该技术要求的具有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15.9.</w:t>
            </w:r>
            <w:r>
              <w:rPr>
                <w:rFonts w:eastAsia="宋体" w:hint="eastAsia"/>
              </w:rPr>
              <w:t>支持设备级联使用；</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15.10.</w:t>
            </w:r>
            <w:r>
              <w:rPr>
                <w:rFonts w:eastAsia="宋体" w:hint="eastAsia"/>
              </w:rPr>
              <w:t>前面板具有</w:t>
            </w:r>
            <w:r>
              <w:t>≥8</w:t>
            </w:r>
            <w:r>
              <w:rPr>
                <w:rFonts w:eastAsia="宋体" w:hint="eastAsia"/>
              </w:rPr>
              <w:t>个按键，可对每路进行手动控制，同时具备键盘锁功能；</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t>▲</w:t>
            </w:r>
          </w:p>
        </w:tc>
        <w:tc>
          <w:tcPr>
            <w:tcW w:w="3851" w:type="pct"/>
            <w:tcBorders>
              <w:top w:val="single" w:sz="4" w:space="0" w:color="000000"/>
              <w:left w:val="single" w:sz="4" w:space="0" w:color="000000"/>
              <w:bottom w:val="single" w:sz="4" w:space="0" w:color="000000"/>
              <w:right w:val="single" w:sz="4" w:space="0" w:color="000000"/>
            </w:tcBorders>
            <w:shd w:val="clear" w:color="auto" w:fill="auto"/>
          </w:tcPr>
          <w:p>
            <w:pPr>
              <w:rPr>
                <w:rFonts w:eastAsia="宋体"/>
              </w:rPr>
            </w:pPr>
            <w:r>
              <w:rPr>
                <w:rFonts w:eastAsiaTheme="minorEastAsia" w:hint="eastAsia"/>
              </w:rPr>
              <w:t>15.11.</w:t>
            </w:r>
            <w:r>
              <w:t>▲</w:t>
            </w:r>
            <w:r>
              <w:rPr>
                <w:rFonts w:eastAsia="宋体" w:hint="eastAsia"/>
              </w:rPr>
              <w:t>具有标准</w:t>
            </w:r>
            <w:r>
              <w:t>RS232</w:t>
            </w:r>
            <w:r>
              <w:rPr>
                <w:rFonts w:eastAsia="宋体" w:hint="eastAsia"/>
              </w:rPr>
              <w:t>控制功能，可设置</w:t>
            </w:r>
            <w:r>
              <w:t>255</w:t>
            </w:r>
            <w:r>
              <w:rPr>
                <w:rFonts w:eastAsia="宋体" w:hint="eastAsia"/>
              </w:rPr>
              <w:t>个</w:t>
            </w:r>
            <w:r>
              <w:t>ID</w:t>
            </w:r>
            <w:r>
              <w:rPr>
                <w:rFonts w:eastAsia="宋体" w:hint="eastAsia"/>
              </w:rPr>
              <w:t>地址，最大可支持</w:t>
            </w:r>
            <w:r>
              <w:t>255</w:t>
            </w:r>
            <w:r>
              <w:rPr>
                <w:rFonts w:eastAsia="宋体" w:hint="eastAsia"/>
              </w:rPr>
              <w:t>台设备同时使用</w:t>
            </w:r>
            <w:r>
              <w:rPr>
                <w:rFonts w:eastAsia="宋体" w:hint="eastAsia"/>
                <w:lang w:eastAsia="zh-CN"/>
              </w:rPr>
              <w:t>，</w:t>
            </w:r>
            <w:r>
              <w:rPr>
                <w:rFonts w:eastAsia="宋体" w:hint="eastAsia"/>
              </w:rPr>
              <w:t>电路板线路采用高端分流技术</w:t>
            </w:r>
            <w:r>
              <w:rPr>
                <w:rFonts w:eastAsia="宋体" w:hint="eastAsia"/>
                <w:lang w:eastAsia="zh-CN"/>
              </w:rPr>
              <w:t>，</w:t>
            </w:r>
            <w:r>
              <w:rPr>
                <w:rFonts w:eastAsia="宋体" w:hint="eastAsia"/>
              </w:rPr>
              <w:t>经强化加粗处理（投标时提供所投产品或所提供产品系列满足该技术要求的具有</w:t>
            </w:r>
            <w:r>
              <w:t>CNAS</w:t>
            </w:r>
            <w:r>
              <w:rPr>
                <w:rFonts w:eastAsia="宋体" w:hint="eastAsia"/>
              </w:rPr>
              <w:t>和</w:t>
            </w:r>
            <w:r>
              <w:t>CMA</w:t>
            </w:r>
            <w:r>
              <w:rPr>
                <w:rFonts w:eastAsia="宋体" w:hint="eastAsia"/>
              </w:rPr>
              <w:t>标识的检测报告或检验报告，原件备查）；</w:t>
            </w:r>
          </w:p>
        </w:tc>
      </w:tr>
      <w:tr>
        <w:tblPrEx>
          <w:tblW w:w="4994" w:type="pct"/>
          <w:tblInd w:w="0" w:type="dxa"/>
          <w:tblCellMar>
            <w:top w:w="0" w:type="dxa"/>
            <w:left w:w="108" w:type="dxa"/>
            <w:bottom w:w="0" w:type="dxa"/>
            <w:right w:w="108" w:type="dxa"/>
          </w:tblCellMar>
        </w:tblPrEx>
        <w:trPr>
          <w:trHeight w:val="400"/>
        </w:trPr>
        <w:tc>
          <w:tcPr>
            <w:tcW w:w="3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r>
              <w:rPr>
                <w:rFonts w:eastAsia="宋体" w:hint="eastAsia"/>
              </w:rPr>
              <w:t>16</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Style w:val="font31"/>
                <w:rFonts w:hint="default"/>
              </w:rPr>
              <w:t>综合布线</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16.含六类双绞线、面板/插座、跳线、配线架等安装配件。</w:t>
            </w:r>
          </w:p>
        </w:tc>
      </w:tr>
      <w:tr>
        <w:tblPrEx>
          <w:tblW w:w="4994" w:type="pct"/>
          <w:tblInd w:w="0" w:type="dxa"/>
          <w:tblCellMar>
            <w:top w:w="0" w:type="dxa"/>
            <w:left w:w="108" w:type="dxa"/>
            <w:bottom w:w="0" w:type="dxa"/>
            <w:right w:w="108" w:type="dxa"/>
          </w:tblCellMar>
        </w:tblPrEx>
        <w:trPr>
          <w:trHeight w:val="400"/>
        </w:trPr>
        <w:tc>
          <w:tcPr>
            <w:tcW w:w="38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rPr>
                <w:rFonts w:eastAsia="宋体"/>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p>
        </w:tc>
        <w:tc>
          <w:tcPr>
            <w:tcW w:w="3851" w:type="pct"/>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eastAsia="宋体"/>
              </w:rPr>
            </w:pPr>
            <w:r>
              <w:rPr>
                <w:rFonts w:eastAsia="宋体" w:hint="eastAsia"/>
              </w:rPr>
              <w:t>16.含室内配电箱主电源接入；含线槽、插座和开关等安装配件。</w:t>
            </w:r>
          </w:p>
        </w:tc>
      </w:tr>
    </w:tbl>
    <w:p>
      <w:pPr>
        <w:pStyle w:val="BodyText"/>
        <w:rPr>
          <w:rFonts w:ascii="宋体" w:hAnsi="宋体" w:cs="宋体"/>
          <w:szCs w:val="21"/>
        </w:rPr>
      </w:pPr>
    </w:p>
    <w:p>
      <w:pPr>
        <w:pStyle w:val="1"/>
      </w:pPr>
    </w:p>
    <w:p>
      <w:pPr>
        <w:rPr>
          <w:b/>
          <w:szCs w:val="21"/>
        </w:rPr>
      </w:pPr>
    </w:p>
    <w:p>
      <w:pPr>
        <w:pStyle w:val="Heading3"/>
        <w:jc w:val="center"/>
        <w:rPr>
          <w:sz w:val="32"/>
        </w:rPr>
      </w:pPr>
      <w:r>
        <w:rPr>
          <w:rFonts w:hint="eastAsia"/>
          <w:sz w:val="32"/>
        </w:rPr>
        <w:t>五、</w:t>
      </w:r>
      <w:r>
        <w:rPr>
          <w:rFonts w:ascii="宋体" w:hAnsi="宋体" w:cs="宋体" w:hint="eastAsia"/>
          <w:b/>
          <w:szCs w:val="21"/>
        </w:rPr>
        <w:t>★</w:t>
      </w:r>
      <w:r>
        <w:rPr>
          <w:rFonts w:hint="eastAsia"/>
          <w:sz w:val="32"/>
        </w:rPr>
        <w:t>商务需求</w:t>
      </w:r>
    </w:p>
    <w:p>
      <w:pPr>
        <w:ind w:firstLine="480" w:firstLineChars="200"/>
      </w:pPr>
      <w:r>
        <w:rPr>
          <w:rFonts w:ascii="宋体" w:hAnsi="宋体" w:hint="eastAsia"/>
          <w:b/>
          <w:color w:val="0000FF"/>
          <w:szCs w:val="21"/>
        </w:rPr>
        <w:t>以下商务条款为合同的组成部分，属于实质性条款。供应商必须满足商务条款中各条款，否则，投标无效。</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08"/>
        <w:gridCol w:w="1023"/>
        <w:gridCol w:w="6991"/>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trPr>
        <w:tc>
          <w:tcPr>
            <w:tcW w:w="298" w:type="pct"/>
            <w:vAlign w:val="center"/>
          </w:tcPr>
          <w:p>
            <w:pPr>
              <w:jc w:val="center"/>
              <w:rPr>
                <w:b/>
              </w:rPr>
            </w:pPr>
            <w:r>
              <w:rPr>
                <w:rFonts w:hint="eastAsia"/>
                <w:b/>
              </w:rPr>
              <w:t>序号</w:t>
            </w:r>
          </w:p>
        </w:tc>
        <w:tc>
          <w:tcPr>
            <w:tcW w:w="600" w:type="pct"/>
            <w:vAlign w:val="center"/>
          </w:tcPr>
          <w:p>
            <w:pPr>
              <w:jc w:val="center"/>
              <w:rPr>
                <w:b/>
              </w:rPr>
            </w:pPr>
            <w:r>
              <w:rPr>
                <w:rFonts w:hint="eastAsia"/>
                <w:b/>
              </w:rPr>
              <w:t>目录</w:t>
            </w:r>
          </w:p>
        </w:tc>
        <w:tc>
          <w:tcPr>
            <w:tcW w:w="4101" w:type="pct"/>
            <w:vAlign w:val="center"/>
          </w:tcPr>
          <w:p>
            <w:pPr>
              <w:jc w:val="center"/>
              <w:rPr>
                <w:b/>
              </w:rPr>
            </w:pPr>
            <w:r>
              <w:rPr>
                <w:rFonts w:hint="eastAsia"/>
                <w:b/>
              </w:rPr>
              <w:t>招标商务需求</w:t>
            </w:r>
          </w:p>
        </w:tc>
      </w:tr>
      <w:tr>
        <w:tblPrEx>
          <w:tblW w:w="5000" w:type="pct"/>
          <w:tblInd w:w="0" w:type="dxa"/>
          <w:tblCellMar>
            <w:top w:w="0" w:type="dxa"/>
            <w:left w:w="108" w:type="dxa"/>
            <w:bottom w:w="0" w:type="dxa"/>
            <w:right w:w="108" w:type="dxa"/>
          </w:tblCellMar>
        </w:tblPrEx>
        <w:trPr>
          <w:trHeight w:val="280"/>
        </w:trPr>
        <w:tc>
          <w:tcPr>
            <w:tcW w:w="5000" w:type="pct"/>
            <w:gridSpan w:val="3"/>
          </w:tcPr>
          <w:p>
            <w:pPr>
              <w:rPr>
                <w:b/>
              </w:rPr>
            </w:pPr>
            <w:r>
              <w:rPr>
                <w:rFonts w:hint="eastAsia"/>
                <w:b/>
              </w:rPr>
              <w:t>（一）免费保修期内售后服务要求</w:t>
            </w:r>
          </w:p>
        </w:tc>
      </w:tr>
      <w:tr>
        <w:tblPrEx>
          <w:tblW w:w="5000" w:type="pct"/>
          <w:tblInd w:w="0" w:type="dxa"/>
          <w:tblCellMar>
            <w:top w:w="0" w:type="dxa"/>
            <w:left w:w="108" w:type="dxa"/>
            <w:bottom w:w="0" w:type="dxa"/>
            <w:right w:w="108" w:type="dxa"/>
          </w:tblCellMar>
        </w:tblPrEx>
        <w:trPr>
          <w:trHeight w:val="320"/>
        </w:trPr>
        <w:tc>
          <w:tcPr>
            <w:tcW w:w="298" w:type="pct"/>
            <w:vAlign w:val="center"/>
          </w:tcPr>
          <w:p>
            <w:pPr>
              <w:jc w:val="center"/>
              <w:rPr>
                <w:b/>
              </w:rPr>
            </w:pPr>
            <w:r>
              <w:rPr>
                <w:rFonts w:hint="eastAsia"/>
                <w:b/>
              </w:rPr>
              <w:t>1</w:t>
            </w:r>
          </w:p>
        </w:tc>
        <w:tc>
          <w:tcPr>
            <w:tcW w:w="600" w:type="pct"/>
            <w:vAlign w:val="center"/>
          </w:tcPr>
          <w:p>
            <w:pPr>
              <w:spacing w:line="360" w:lineRule="exact"/>
              <w:jc w:val="center"/>
              <w:rPr>
                <w:rFonts w:ascii="宋体" w:hAnsi="宋体" w:hint="eastAsia"/>
                <w:b/>
                <w:sz w:val="20"/>
                <w:szCs w:val="20"/>
              </w:rPr>
            </w:pPr>
            <w:r>
              <w:rPr>
                <w:rFonts w:ascii="宋体" w:hAnsi="宋体" w:hint="eastAsia"/>
                <w:b/>
                <w:sz w:val="20"/>
                <w:szCs w:val="20"/>
              </w:rPr>
              <w:t>维修响应及故障解决时间</w:t>
            </w:r>
          </w:p>
        </w:tc>
        <w:tc>
          <w:tcPr>
            <w:tcW w:w="4101" w:type="pct"/>
          </w:tcPr>
          <w:p>
            <w:pPr>
              <w:rPr>
                <w:b/>
              </w:rPr>
            </w:pPr>
            <w:r>
              <w:rPr>
                <w:rFonts w:hint="eastAsia"/>
                <w:bCs/>
                <w:szCs w:val="21"/>
              </w:rPr>
              <w:t>在保修期内，一旦发生质量问题，投标人保证在接到通知24小时内赶到现场进行修理或更换。</w:t>
            </w:r>
          </w:p>
        </w:tc>
      </w:tr>
      <w:tr>
        <w:tblPrEx>
          <w:tblW w:w="5000" w:type="pct"/>
          <w:tblInd w:w="0" w:type="dxa"/>
          <w:tblCellMar>
            <w:top w:w="0" w:type="dxa"/>
            <w:left w:w="108" w:type="dxa"/>
            <w:bottom w:w="0" w:type="dxa"/>
            <w:right w:w="108" w:type="dxa"/>
          </w:tblCellMar>
        </w:tblPrEx>
        <w:trPr>
          <w:trHeight w:val="320"/>
        </w:trPr>
        <w:tc>
          <w:tcPr>
            <w:tcW w:w="298" w:type="pct"/>
            <w:vAlign w:val="center"/>
          </w:tcPr>
          <w:p>
            <w:pPr>
              <w:jc w:val="center"/>
              <w:rPr>
                <w:szCs w:val="21"/>
              </w:rPr>
            </w:pPr>
            <w:r>
              <w:rPr>
                <w:rFonts w:hint="eastAsia"/>
                <w:szCs w:val="21"/>
              </w:rPr>
              <w:t>2</w:t>
            </w:r>
          </w:p>
        </w:tc>
        <w:tc>
          <w:tcPr>
            <w:tcW w:w="600" w:type="pct"/>
            <w:vAlign w:val="center"/>
          </w:tcPr>
          <w:p>
            <w:pPr>
              <w:spacing w:line="360" w:lineRule="exact"/>
              <w:jc w:val="center"/>
              <w:rPr>
                <w:rFonts w:ascii="宋体" w:hAnsi="宋体" w:hint="eastAsia"/>
                <w:b/>
                <w:sz w:val="20"/>
                <w:szCs w:val="20"/>
              </w:rPr>
            </w:pPr>
            <w:r>
              <w:rPr>
                <w:rFonts w:ascii="宋体" w:hAnsi="宋体" w:hint="eastAsia"/>
                <w:b/>
                <w:sz w:val="20"/>
                <w:szCs w:val="20"/>
              </w:rPr>
              <w:t>关于免费保修期</w:t>
            </w:r>
          </w:p>
        </w:tc>
        <w:tc>
          <w:tcPr>
            <w:tcW w:w="4101" w:type="pct"/>
          </w:tcPr>
          <w:p>
            <w:pPr>
              <w:rPr>
                <w:b/>
                <w:szCs w:val="21"/>
              </w:rPr>
            </w:pPr>
            <w:r>
              <w:rPr>
                <w:bCs/>
                <w:szCs w:val="21"/>
              </w:rPr>
              <w:t>1.1</w:t>
            </w:r>
            <w:r>
              <w:rPr>
                <w:rFonts w:hint="eastAsia"/>
                <w:bCs/>
                <w:szCs w:val="21"/>
              </w:rPr>
              <w:t>货物免费保修期</w:t>
            </w:r>
            <w:r>
              <w:rPr>
                <w:rFonts w:hint="eastAsia"/>
                <w:bCs/>
                <w:szCs w:val="21"/>
                <w:u w:val="single"/>
              </w:rPr>
              <w:t xml:space="preserve"> </w:t>
            </w:r>
            <w:r>
              <w:rPr>
                <w:rFonts w:hint="eastAsia"/>
                <w:bCs/>
                <w:szCs w:val="21"/>
                <w:u w:val="single"/>
                <w:lang w:val="en-US" w:eastAsia="zh-CN"/>
              </w:rPr>
              <w:t>3</w:t>
            </w:r>
            <w:r>
              <w:rPr>
                <w:rFonts w:hint="eastAsia"/>
                <w:bCs/>
                <w:szCs w:val="21"/>
                <w:u w:val="single"/>
              </w:rPr>
              <w:t xml:space="preserve"> </w:t>
            </w:r>
            <w:r>
              <w:rPr>
                <w:rFonts w:hint="eastAsia"/>
                <w:bCs/>
                <w:szCs w:val="21"/>
              </w:rPr>
              <w:t>年，时间自最终验收合格并交付使用之日起计算。</w:t>
            </w:r>
          </w:p>
        </w:tc>
      </w:tr>
      <w:tr>
        <w:tblPrEx>
          <w:tblW w:w="5000" w:type="pct"/>
          <w:tblInd w:w="0" w:type="dxa"/>
          <w:tblCellMar>
            <w:top w:w="0" w:type="dxa"/>
            <w:left w:w="108" w:type="dxa"/>
            <w:bottom w:w="0" w:type="dxa"/>
            <w:right w:w="108" w:type="dxa"/>
          </w:tblCellMar>
        </w:tblPrEx>
        <w:trPr>
          <w:trHeight w:val="717"/>
        </w:trPr>
        <w:tc>
          <w:tcPr>
            <w:tcW w:w="298" w:type="pct"/>
            <w:vAlign w:val="center"/>
          </w:tcPr>
          <w:p>
            <w:pPr>
              <w:spacing w:line="360" w:lineRule="exact"/>
              <w:jc w:val="center"/>
              <w:rPr>
                <w:rFonts w:hint="eastAsia"/>
                <w:b/>
              </w:rPr>
            </w:pPr>
            <w:r>
              <w:rPr>
                <w:rFonts w:ascii="宋体" w:hAnsi="宋体" w:hint="eastAsia"/>
                <w:b/>
                <w:sz w:val="20"/>
                <w:szCs w:val="20"/>
              </w:rPr>
              <w:t>3</w:t>
            </w:r>
          </w:p>
        </w:tc>
        <w:tc>
          <w:tcPr>
            <w:tcW w:w="600" w:type="pct"/>
            <w:vAlign w:val="center"/>
          </w:tcPr>
          <w:p>
            <w:pPr>
              <w:spacing w:line="360" w:lineRule="exact"/>
              <w:jc w:val="center"/>
              <w:rPr>
                <w:rFonts w:hint="eastAsia"/>
                <w:b/>
                <w:bCs/>
              </w:rPr>
            </w:pPr>
            <w:r>
              <w:rPr>
                <w:rFonts w:ascii="宋体" w:hAnsi="宋体" w:hint="eastAsia"/>
                <w:b/>
                <w:bCs/>
                <w:sz w:val="20"/>
                <w:szCs w:val="20"/>
              </w:rPr>
              <w:t>技术文件</w:t>
            </w:r>
          </w:p>
        </w:tc>
        <w:tc>
          <w:tcPr>
            <w:tcW w:w="4101" w:type="pct"/>
            <w:vAlign w:val="center"/>
          </w:tcPr>
          <w:p>
            <w:pPr>
              <w:wordWrap w:val="0"/>
              <w:spacing w:line="276" w:lineRule="auto"/>
              <w:rPr>
                <w:rFonts w:hint="eastAsia"/>
                <w:bCs/>
                <w:szCs w:val="21"/>
              </w:rPr>
            </w:pPr>
            <w:r>
              <w:rPr>
                <w:rFonts w:ascii="宋体" w:hAnsi="宋体" w:cs="宋体" w:hint="eastAsia"/>
                <w:bCs/>
                <w:szCs w:val="21"/>
              </w:rPr>
              <w:t>供应商应提供全套、完整的书面技术资料，包括仪器说明书、操作手册、简单维修说明、图纸等。</w:t>
            </w:r>
          </w:p>
        </w:tc>
      </w:tr>
      <w:tr>
        <w:tblPrEx>
          <w:tblW w:w="5000" w:type="pct"/>
          <w:tblInd w:w="0" w:type="dxa"/>
          <w:tblCellMar>
            <w:top w:w="0" w:type="dxa"/>
            <w:left w:w="108" w:type="dxa"/>
            <w:bottom w:w="0" w:type="dxa"/>
            <w:right w:w="108" w:type="dxa"/>
          </w:tblCellMar>
        </w:tblPrEx>
        <w:trPr>
          <w:trHeight w:val="523"/>
        </w:trPr>
        <w:tc>
          <w:tcPr>
            <w:tcW w:w="298" w:type="pct"/>
            <w:vAlign w:val="center"/>
          </w:tcPr>
          <w:p>
            <w:pPr>
              <w:spacing w:line="360" w:lineRule="exact"/>
              <w:jc w:val="center"/>
              <w:rPr>
                <w:b/>
              </w:rPr>
            </w:pPr>
            <w:r>
              <w:rPr>
                <w:rFonts w:ascii="宋体" w:hAnsi="宋体" w:hint="eastAsia"/>
                <w:b/>
                <w:sz w:val="20"/>
                <w:szCs w:val="20"/>
              </w:rPr>
              <w:t>4</w:t>
            </w:r>
          </w:p>
        </w:tc>
        <w:tc>
          <w:tcPr>
            <w:tcW w:w="600" w:type="pct"/>
            <w:vAlign w:val="center"/>
          </w:tcPr>
          <w:p>
            <w:pPr>
              <w:spacing w:line="360" w:lineRule="exact"/>
              <w:jc w:val="center"/>
              <w:rPr>
                <w:b/>
                <w:bCs/>
              </w:rPr>
            </w:pPr>
            <w:r>
              <w:rPr>
                <w:rFonts w:ascii="宋体" w:hAnsi="宋体" w:hint="eastAsia"/>
                <w:b/>
                <w:bCs/>
                <w:sz w:val="20"/>
                <w:szCs w:val="20"/>
              </w:rPr>
              <w:t>安装调试</w:t>
            </w:r>
          </w:p>
        </w:tc>
        <w:tc>
          <w:tcPr>
            <w:tcW w:w="4101" w:type="pct"/>
            <w:vAlign w:val="center"/>
          </w:tcPr>
          <w:p>
            <w:pPr>
              <w:wordWrap w:val="0"/>
              <w:spacing w:line="276" w:lineRule="auto"/>
              <w:rPr>
                <w:b/>
              </w:rPr>
            </w:pPr>
            <w:r>
              <w:rPr>
                <w:rFonts w:ascii="宋体" w:hAnsi="宋体" w:cs="宋体" w:hint="eastAsia"/>
                <w:bCs/>
                <w:szCs w:val="21"/>
              </w:rPr>
              <w:t>完成本采购项目内所有设备的安装和调试满足验收标准。</w:t>
            </w:r>
          </w:p>
        </w:tc>
      </w:tr>
      <w:tr>
        <w:tblPrEx>
          <w:tblW w:w="5000" w:type="pct"/>
          <w:tblInd w:w="0" w:type="dxa"/>
          <w:tblCellMar>
            <w:top w:w="0" w:type="dxa"/>
            <w:left w:w="108" w:type="dxa"/>
            <w:bottom w:w="0" w:type="dxa"/>
            <w:right w:w="108" w:type="dxa"/>
          </w:tblCellMar>
        </w:tblPrEx>
        <w:trPr>
          <w:trHeight w:val="523"/>
        </w:trPr>
        <w:tc>
          <w:tcPr>
            <w:tcW w:w="298" w:type="pct"/>
            <w:vAlign w:val="center"/>
          </w:tcPr>
          <w:p>
            <w:pPr>
              <w:spacing w:line="360" w:lineRule="exact"/>
              <w:jc w:val="center"/>
              <w:rPr>
                <w:rFonts w:ascii="宋体" w:eastAsia="宋体" w:hAnsi="宋体" w:hint="eastAsia"/>
                <w:b/>
                <w:sz w:val="20"/>
                <w:szCs w:val="20"/>
                <w:lang w:val="en-US" w:eastAsia="zh-CN"/>
              </w:rPr>
            </w:pPr>
            <w:r>
              <w:rPr>
                <w:rFonts w:ascii="宋体" w:eastAsia="宋体" w:hAnsi="宋体" w:hint="eastAsia"/>
                <w:b/>
                <w:sz w:val="20"/>
                <w:szCs w:val="20"/>
                <w:lang w:val="en-US" w:eastAsia="zh-CN"/>
              </w:rPr>
              <w:t>5</w:t>
            </w:r>
          </w:p>
        </w:tc>
        <w:tc>
          <w:tcPr>
            <w:tcW w:w="600" w:type="pct"/>
            <w:vAlign w:val="center"/>
          </w:tcPr>
          <w:p>
            <w:pPr>
              <w:spacing w:line="360" w:lineRule="exact"/>
              <w:jc w:val="center"/>
              <w:rPr>
                <w:rFonts w:ascii="宋体" w:eastAsia="Times New Roman" w:hAnsi="宋体" w:cs="Times New Roman" w:hint="default"/>
                <w:b/>
                <w:bCs/>
                <w:sz w:val="20"/>
                <w:szCs w:val="20"/>
                <w:lang w:val="en-US" w:eastAsia="zh-CN"/>
              </w:rPr>
            </w:pPr>
            <w:r>
              <w:rPr>
                <w:rFonts w:ascii="宋体" w:eastAsia="Times New Roman" w:hAnsi="宋体" w:cs="Times New Roman" w:hint="eastAsia"/>
                <w:b/>
                <w:bCs/>
                <w:sz w:val="20"/>
                <w:szCs w:val="20"/>
              </w:rPr>
              <w:t>付款期限和方式</w:t>
            </w:r>
          </w:p>
        </w:tc>
        <w:tc>
          <w:tcPr>
            <w:tcW w:w="4101" w:type="pct"/>
            <w:vAlign w:val="center"/>
          </w:tcPr>
          <w:p>
            <w:pPr>
              <w:keepNext w:val="0"/>
              <w:keepLines w:val="0"/>
              <w:widowControl/>
              <w:suppressLineNumbers w:val="0"/>
              <w:spacing w:before="0" w:beforeAutospacing="0" w:after="0" w:afterAutospacing="0"/>
              <w:ind w:left="0" w:right="0"/>
              <w:rPr>
                <w:rFonts w:hint="default"/>
              </w:rPr>
            </w:pPr>
            <w:r>
              <w:rPr>
                <w:rFonts w:hint="eastAsia"/>
              </w:rPr>
              <w:t>中标签订合同后5个工作日内，甲方支付30%合同约定金额的预付款，项目供货完毕并安装调试、验收合格后， 一次性支付剩余70%合同约定金额，支付要求及时限以财政部门的规定为准。在付款前，乙方必须先提供等额合法有效的发票。</w:t>
            </w:r>
          </w:p>
          <w:p>
            <w:pPr>
              <w:wordWrap w:val="0"/>
              <w:spacing w:line="276" w:lineRule="auto"/>
              <w:rPr>
                <w:rFonts w:ascii="宋体" w:eastAsia="宋体" w:hAnsi="宋体" w:cs="宋体" w:hint="default"/>
                <w:bCs/>
                <w:szCs w:val="21"/>
                <w:lang w:val="en-US" w:eastAsia="zh-CN"/>
              </w:rPr>
            </w:pPr>
            <w:r>
              <w:rPr>
                <w:rFonts w:hint="eastAsia"/>
              </w:rPr>
              <w:t>注：如果后续年度经人大审议通过的部门预算中，该采购项目预算金额较</w:t>
            </w:r>
            <w:r>
              <w:rPr>
                <w:rFonts w:eastAsia="宋体" w:hint="eastAsia"/>
                <w:lang w:eastAsia="zh-CN"/>
              </w:rPr>
              <w:t>以前</w:t>
            </w:r>
            <w:r>
              <w:rPr>
                <w:rFonts w:hint="eastAsia"/>
              </w:rPr>
              <w:t>采购计划金额发生变化的，双方可根据相关规定签订补充协议或终止协议执行。</w:t>
            </w:r>
          </w:p>
        </w:tc>
      </w:tr>
      <w:tr>
        <w:tblPrEx>
          <w:tblW w:w="5000" w:type="pct"/>
          <w:tblInd w:w="0" w:type="dxa"/>
          <w:tblCellMar>
            <w:top w:w="0" w:type="dxa"/>
            <w:left w:w="108" w:type="dxa"/>
            <w:bottom w:w="0" w:type="dxa"/>
            <w:right w:w="108" w:type="dxa"/>
          </w:tblCellMar>
        </w:tblPrEx>
        <w:trPr>
          <w:trHeight w:val="350"/>
        </w:trPr>
        <w:tc>
          <w:tcPr>
            <w:tcW w:w="5000" w:type="pct"/>
            <w:gridSpan w:val="3"/>
            <w:vAlign w:val="center"/>
          </w:tcPr>
          <w:p>
            <w:pPr>
              <w:jc w:val="center"/>
              <w:rPr>
                <w:b/>
                <w:bCs/>
              </w:rPr>
            </w:pPr>
            <w:r>
              <w:rPr>
                <w:rFonts w:hint="eastAsia"/>
                <w:b/>
                <w:bCs/>
              </w:rPr>
              <w:t>（</w:t>
            </w:r>
            <w:r>
              <w:rPr>
                <w:rFonts w:hint="eastAsia"/>
                <w:b/>
                <w:bCs/>
                <w:lang w:val="en-US" w:eastAsia="zh-CN"/>
              </w:rPr>
              <w:t>二</w:t>
            </w:r>
            <w:r>
              <w:rPr>
                <w:rFonts w:hint="eastAsia"/>
                <w:b/>
                <w:bCs/>
              </w:rPr>
              <w:t>）其他商务要求</w:t>
            </w:r>
          </w:p>
        </w:tc>
      </w:tr>
      <w:tr>
        <w:tblPrEx>
          <w:tblW w:w="5000" w:type="pct"/>
          <w:tblInd w:w="0" w:type="dxa"/>
          <w:tblCellMar>
            <w:top w:w="0" w:type="dxa"/>
            <w:left w:w="108" w:type="dxa"/>
            <w:bottom w:w="0" w:type="dxa"/>
            <w:right w:w="108" w:type="dxa"/>
          </w:tblCellMar>
        </w:tblPrEx>
        <w:trPr>
          <w:trHeight w:val="375"/>
        </w:trPr>
        <w:tc>
          <w:tcPr>
            <w:tcW w:w="298" w:type="pct"/>
            <w:vMerge w:val="restart"/>
            <w:vAlign w:val="center"/>
          </w:tcPr>
          <w:p>
            <w:pPr>
              <w:jc w:val="center"/>
              <w:rPr>
                <w:b/>
              </w:rPr>
            </w:pPr>
            <w:r>
              <w:rPr>
                <w:rFonts w:hint="eastAsia"/>
                <w:b/>
              </w:rPr>
              <w:t>1</w:t>
            </w:r>
          </w:p>
        </w:tc>
        <w:tc>
          <w:tcPr>
            <w:tcW w:w="600" w:type="pct"/>
            <w:vMerge w:val="restart"/>
            <w:vAlign w:val="center"/>
          </w:tcPr>
          <w:p>
            <w:pPr>
              <w:spacing w:line="360" w:lineRule="exact"/>
              <w:jc w:val="center"/>
              <w:rPr>
                <w:rFonts w:ascii="宋体" w:hAnsi="宋体"/>
                <w:b/>
                <w:sz w:val="20"/>
                <w:szCs w:val="20"/>
              </w:rPr>
            </w:pPr>
            <w:r>
              <w:rPr>
                <w:rFonts w:ascii="宋体" w:hAnsi="宋体" w:hint="eastAsia"/>
                <w:b/>
                <w:sz w:val="20"/>
                <w:szCs w:val="20"/>
              </w:rPr>
              <w:t>关于交货</w:t>
            </w:r>
          </w:p>
        </w:tc>
        <w:tc>
          <w:tcPr>
            <w:tcW w:w="4101" w:type="pct"/>
          </w:tcPr>
          <w:p>
            <w:pPr>
              <w:rPr>
                <w:rFonts w:eastAsia="宋体" w:hint="eastAsia"/>
                <w:bCs/>
                <w:szCs w:val="21"/>
                <w:lang w:eastAsia="zh-CN"/>
              </w:rPr>
            </w:pPr>
            <w:r>
              <w:rPr>
                <w:rFonts w:hint="eastAsia"/>
                <w:bCs/>
                <w:szCs w:val="21"/>
              </w:rPr>
              <w:t>1.1交货地点：</w:t>
            </w:r>
            <w:r>
              <w:rPr>
                <w:rFonts w:eastAsia="宋体" w:hint="eastAsia"/>
                <w:bCs/>
                <w:szCs w:val="21"/>
                <w:lang w:eastAsia="zh-CN"/>
              </w:rPr>
              <w:t>深圳市翠园文锦中学</w:t>
            </w:r>
          </w:p>
        </w:tc>
      </w:tr>
      <w:tr>
        <w:tblPrEx>
          <w:tblW w:w="5000" w:type="pct"/>
          <w:tblInd w:w="0" w:type="dxa"/>
          <w:tblCellMar>
            <w:top w:w="0" w:type="dxa"/>
            <w:left w:w="108" w:type="dxa"/>
            <w:bottom w:w="0" w:type="dxa"/>
            <w:right w:w="108" w:type="dxa"/>
          </w:tblCellMar>
        </w:tblPrEx>
        <w:trPr>
          <w:trHeight w:val="376"/>
        </w:trPr>
        <w:tc>
          <w:tcPr>
            <w:tcW w:w="298" w:type="pct"/>
            <w:vMerge/>
            <w:vAlign w:val="center"/>
          </w:tcPr>
          <w:p>
            <w:pPr>
              <w:jc w:val="center"/>
              <w:rPr>
                <w:b/>
              </w:rPr>
            </w:pPr>
          </w:p>
        </w:tc>
        <w:tc>
          <w:tcPr>
            <w:tcW w:w="600" w:type="pct"/>
            <w:vMerge/>
            <w:vAlign w:val="center"/>
          </w:tcPr>
          <w:p>
            <w:pPr>
              <w:spacing w:line="360" w:lineRule="exact"/>
              <w:jc w:val="center"/>
              <w:rPr>
                <w:rFonts w:ascii="宋体" w:hAnsi="宋体"/>
                <w:b/>
                <w:sz w:val="20"/>
                <w:szCs w:val="20"/>
              </w:rPr>
            </w:pPr>
          </w:p>
        </w:tc>
        <w:tc>
          <w:tcPr>
            <w:tcW w:w="4101" w:type="pct"/>
          </w:tcPr>
          <w:p>
            <w:pPr>
              <w:rPr>
                <w:bCs/>
                <w:szCs w:val="21"/>
              </w:rPr>
            </w:pPr>
            <w:r>
              <w:rPr>
                <w:rFonts w:hint="eastAsia"/>
                <w:bCs/>
                <w:szCs w:val="21"/>
              </w:rPr>
              <w:t>1.2投标人必须承担的设备运输、安装调试、验收检测和提供设备操作说明书、图纸等其他类似的义务。</w:t>
            </w:r>
          </w:p>
        </w:tc>
      </w:tr>
      <w:tr>
        <w:tblPrEx>
          <w:tblW w:w="5000" w:type="pct"/>
          <w:tblInd w:w="0" w:type="dxa"/>
          <w:tblCellMar>
            <w:top w:w="0" w:type="dxa"/>
            <w:left w:w="108" w:type="dxa"/>
            <w:bottom w:w="0" w:type="dxa"/>
            <w:right w:w="108" w:type="dxa"/>
          </w:tblCellMar>
        </w:tblPrEx>
        <w:trPr>
          <w:trHeight w:val="376"/>
        </w:trPr>
        <w:tc>
          <w:tcPr>
            <w:tcW w:w="298" w:type="pct"/>
            <w:vMerge/>
            <w:vAlign w:val="center"/>
          </w:tcPr>
          <w:p>
            <w:pPr>
              <w:jc w:val="center"/>
              <w:rPr>
                <w:b/>
              </w:rPr>
            </w:pPr>
          </w:p>
        </w:tc>
        <w:tc>
          <w:tcPr>
            <w:tcW w:w="600" w:type="pct"/>
            <w:vMerge/>
            <w:vAlign w:val="center"/>
          </w:tcPr>
          <w:p>
            <w:pPr>
              <w:spacing w:line="360" w:lineRule="exact"/>
              <w:jc w:val="center"/>
              <w:rPr>
                <w:rFonts w:ascii="宋体" w:hAnsi="宋体"/>
                <w:b/>
                <w:sz w:val="20"/>
                <w:szCs w:val="20"/>
              </w:rPr>
            </w:pPr>
          </w:p>
        </w:tc>
        <w:tc>
          <w:tcPr>
            <w:tcW w:w="4101" w:type="pct"/>
          </w:tcPr>
          <w:p>
            <w:pPr>
              <w:rPr>
                <w:bCs/>
                <w:szCs w:val="21"/>
              </w:rPr>
            </w:pPr>
            <w:r>
              <w:rPr>
                <w:rFonts w:hint="eastAsia"/>
                <w:bCs/>
                <w:szCs w:val="21"/>
              </w:rPr>
              <w:t>1.3签订合同后</w:t>
            </w:r>
            <w:r>
              <w:rPr>
                <w:rFonts w:hint="eastAsia"/>
                <w:bCs/>
                <w:szCs w:val="21"/>
                <w:u w:val="single"/>
                <w:lang w:val="en-US" w:eastAsia="zh-CN"/>
              </w:rPr>
              <w:t>10</w:t>
            </w:r>
            <w:r>
              <w:rPr>
                <w:rFonts w:hint="eastAsia"/>
                <w:bCs/>
                <w:szCs w:val="21"/>
              </w:rPr>
              <w:t>天（日历日）内交货。</w:t>
            </w:r>
          </w:p>
        </w:tc>
      </w:tr>
      <w:tr>
        <w:tblPrEx>
          <w:tblW w:w="5000" w:type="pct"/>
          <w:tblInd w:w="0" w:type="dxa"/>
          <w:tblCellMar>
            <w:top w:w="0" w:type="dxa"/>
            <w:left w:w="108" w:type="dxa"/>
            <w:bottom w:w="0" w:type="dxa"/>
            <w:right w:w="108" w:type="dxa"/>
          </w:tblCellMar>
        </w:tblPrEx>
        <w:trPr>
          <w:trHeight w:val="350"/>
        </w:trPr>
        <w:tc>
          <w:tcPr>
            <w:tcW w:w="298" w:type="pct"/>
            <w:vMerge w:val="restart"/>
            <w:vAlign w:val="center"/>
          </w:tcPr>
          <w:p>
            <w:pPr>
              <w:jc w:val="center"/>
              <w:rPr>
                <w:b/>
              </w:rPr>
            </w:pPr>
            <w:r>
              <w:rPr>
                <w:rFonts w:hint="eastAsia"/>
                <w:b/>
              </w:rPr>
              <w:t>2</w:t>
            </w:r>
          </w:p>
        </w:tc>
        <w:tc>
          <w:tcPr>
            <w:tcW w:w="600" w:type="pct"/>
            <w:vMerge w:val="restart"/>
            <w:vAlign w:val="center"/>
          </w:tcPr>
          <w:p>
            <w:pPr>
              <w:spacing w:line="360" w:lineRule="exact"/>
              <w:jc w:val="center"/>
              <w:rPr>
                <w:rFonts w:ascii="宋体" w:hAnsi="宋体"/>
                <w:b/>
                <w:sz w:val="20"/>
                <w:szCs w:val="20"/>
              </w:rPr>
            </w:pPr>
            <w:r>
              <w:rPr>
                <w:rFonts w:ascii="宋体" w:hAnsi="宋体" w:hint="eastAsia"/>
                <w:b/>
                <w:sz w:val="20"/>
                <w:szCs w:val="20"/>
              </w:rPr>
              <w:t>关于验收</w:t>
            </w:r>
          </w:p>
        </w:tc>
        <w:tc>
          <w:tcPr>
            <w:tcW w:w="4101" w:type="pct"/>
          </w:tcPr>
          <w:p>
            <w:pPr>
              <w:spacing w:line="340" w:lineRule="exact"/>
              <w:rPr>
                <w:bCs/>
                <w:szCs w:val="21"/>
              </w:rPr>
            </w:pPr>
            <w:r>
              <w:rPr>
                <w:rFonts w:hint="eastAsia"/>
                <w:bCs/>
                <w:szCs w:val="21"/>
              </w:rPr>
              <w:t>2.1投标人货物经过双方检验认可后，签署验收报告，产品保修期自验收合格之日起算，由投标人提供产品保修文件。</w:t>
            </w:r>
          </w:p>
        </w:tc>
      </w:tr>
      <w:tr>
        <w:tblPrEx>
          <w:tblW w:w="5000" w:type="pct"/>
          <w:tblInd w:w="0" w:type="dxa"/>
          <w:tblCellMar>
            <w:top w:w="0" w:type="dxa"/>
            <w:left w:w="108" w:type="dxa"/>
            <w:bottom w:w="0" w:type="dxa"/>
            <w:right w:w="108" w:type="dxa"/>
          </w:tblCellMar>
        </w:tblPrEx>
        <w:trPr>
          <w:trHeight w:val="350"/>
        </w:trPr>
        <w:tc>
          <w:tcPr>
            <w:tcW w:w="298" w:type="pct"/>
            <w:vMerge/>
            <w:vAlign w:val="center"/>
          </w:tcPr>
          <w:p>
            <w:pPr>
              <w:jc w:val="center"/>
              <w:rPr>
                <w:b/>
              </w:rPr>
            </w:pPr>
          </w:p>
        </w:tc>
        <w:tc>
          <w:tcPr>
            <w:tcW w:w="600" w:type="pct"/>
            <w:vMerge/>
            <w:vAlign w:val="center"/>
          </w:tcPr>
          <w:p>
            <w:pPr>
              <w:spacing w:line="360" w:lineRule="exact"/>
              <w:jc w:val="center"/>
              <w:rPr>
                <w:rFonts w:ascii="宋体" w:hAnsi="宋体"/>
                <w:b/>
                <w:sz w:val="20"/>
                <w:szCs w:val="20"/>
              </w:rPr>
            </w:pPr>
          </w:p>
        </w:tc>
        <w:tc>
          <w:tcPr>
            <w:tcW w:w="4101" w:type="pct"/>
          </w:tcPr>
          <w:p>
            <w:pPr>
              <w:spacing w:line="340" w:lineRule="exact"/>
              <w:rPr>
                <w:bCs/>
                <w:szCs w:val="21"/>
              </w:rPr>
            </w:pPr>
            <w:r>
              <w:rPr>
                <w:rFonts w:hint="eastAsia"/>
                <w:bCs/>
                <w:szCs w:val="21"/>
              </w:rPr>
              <w:t>2.2当满足以下条件时，采购人才向中标人签发货物验收报告：</w:t>
            </w:r>
          </w:p>
          <w:p>
            <w:pPr>
              <w:tabs>
                <w:tab w:val="left" w:pos="1260"/>
              </w:tabs>
              <w:spacing w:line="340" w:lineRule="exact"/>
              <w:rPr>
                <w:bCs/>
                <w:szCs w:val="21"/>
              </w:rPr>
            </w:pPr>
            <w:r>
              <w:rPr>
                <w:bCs/>
                <w:szCs w:val="21"/>
              </w:rPr>
              <w:t>a</w:t>
            </w:r>
            <w:r>
              <w:rPr>
                <w:rFonts w:eastAsia="宋体" w:hint="eastAsia"/>
                <w:bCs/>
                <w:szCs w:val="21"/>
                <w:lang w:eastAsia="zh-CN"/>
              </w:rPr>
              <w:t>.</w:t>
            </w:r>
            <w:r>
              <w:rPr>
                <w:rFonts w:hint="eastAsia"/>
                <w:bCs/>
                <w:szCs w:val="21"/>
              </w:rPr>
              <w:t>中标人已按照合同规定提供了全部产品及完整的技术资料。</w:t>
            </w:r>
          </w:p>
          <w:p>
            <w:pPr>
              <w:tabs>
                <w:tab w:val="left" w:pos="1260"/>
              </w:tabs>
              <w:spacing w:line="340" w:lineRule="exact"/>
              <w:rPr>
                <w:bCs/>
                <w:szCs w:val="21"/>
              </w:rPr>
            </w:pPr>
            <w:r>
              <w:rPr>
                <w:bCs/>
                <w:szCs w:val="21"/>
              </w:rPr>
              <w:t>b</w:t>
            </w:r>
            <w:r>
              <w:rPr>
                <w:rFonts w:eastAsia="宋体" w:hint="eastAsia"/>
                <w:bCs/>
                <w:szCs w:val="21"/>
                <w:lang w:eastAsia="zh-CN"/>
              </w:rPr>
              <w:t>.</w:t>
            </w:r>
            <w:r>
              <w:rPr>
                <w:rFonts w:hint="eastAsia"/>
                <w:bCs/>
                <w:szCs w:val="21"/>
              </w:rPr>
              <w:t>货物符合招标文件技术规格书的要求，性能满足要求。</w:t>
            </w:r>
          </w:p>
          <w:p>
            <w:pPr>
              <w:tabs>
                <w:tab w:val="left" w:pos="1260"/>
              </w:tabs>
              <w:spacing w:line="340" w:lineRule="exact"/>
              <w:rPr>
                <w:bCs/>
                <w:szCs w:val="21"/>
              </w:rPr>
            </w:pPr>
            <w:r>
              <w:rPr>
                <w:bCs/>
                <w:szCs w:val="21"/>
              </w:rPr>
              <w:t>c</w:t>
            </w:r>
            <w:r>
              <w:rPr>
                <w:rFonts w:eastAsia="宋体" w:hint="eastAsia"/>
                <w:bCs/>
                <w:szCs w:val="21"/>
                <w:lang w:eastAsia="zh-CN"/>
              </w:rPr>
              <w:t>.</w:t>
            </w:r>
            <w:r>
              <w:rPr>
                <w:rFonts w:hint="eastAsia"/>
                <w:bCs/>
                <w:szCs w:val="21"/>
              </w:rPr>
              <w:t>货物具备产品合格证。</w:t>
            </w:r>
          </w:p>
        </w:tc>
      </w:tr>
      <w:tr>
        <w:tblPrEx>
          <w:tblW w:w="5000" w:type="pct"/>
          <w:tblInd w:w="0" w:type="dxa"/>
          <w:tblCellMar>
            <w:top w:w="0" w:type="dxa"/>
            <w:left w:w="108" w:type="dxa"/>
            <w:bottom w:w="0" w:type="dxa"/>
            <w:right w:w="108" w:type="dxa"/>
          </w:tblCellMar>
        </w:tblPrEx>
        <w:trPr>
          <w:trHeight w:val="350"/>
        </w:trPr>
        <w:tc>
          <w:tcPr>
            <w:tcW w:w="298" w:type="pct"/>
            <w:vMerge/>
            <w:vAlign w:val="center"/>
          </w:tcPr>
          <w:p>
            <w:pPr>
              <w:jc w:val="center"/>
              <w:rPr>
                <w:b/>
              </w:rPr>
            </w:pPr>
          </w:p>
        </w:tc>
        <w:tc>
          <w:tcPr>
            <w:tcW w:w="600" w:type="pct"/>
            <w:vMerge/>
            <w:vAlign w:val="center"/>
          </w:tcPr>
          <w:p>
            <w:pPr>
              <w:spacing w:line="360" w:lineRule="exact"/>
              <w:jc w:val="center"/>
              <w:rPr>
                <w:rFonts w:ascii="宋体" w:hAnsi="宋体"/>
                <w:b/>
                <w:sz w:val="20"/>
                <w:szCs w:val="20"/>
              </w:rPr>
            </w:pPr>
          </w:p>
        </w:tc>
        <w:tc>
          <w:tcPr>
            <w:tcW w:w="4101" w:type="pct"/>
          </w:tcPr>
          <w:p>
            <w:pPr>
              <w:rPr>
                <w:rFonts w:eastAsiaTheme="minorEastAsia" w:hint="eastAsia"/>
                <w:b/>
                <w:lang w:eastAsia="zh-CN"/>
              </w:rPr>
            </w:pPr>
            <w:r>
              <w:rPr>
                <w:rFonts w:hint="eastAsia"/>
                <w:bCs/>
                <w:szCs w:val="21"/>
              </w:rPr>
              <w:t>2.3</w:t>
            </w:r>
            <w:r>
              <w:rPr>
                <w:rFonts w:ascii="宋体" w:hAnsi="宋体" w:cs="宋体" w:hint="eastAsia"/>
                <w:bCs/>
                <w:szCs w:val="21"/>
              </w:rPr>
              <w:t>通过深圳市、</w:t>
            </w:r>
            <w:r>
              <w:rPr>
                <w:rFonts w:ascii="宋体" w:hAnsi="宋体" w:cs="宋体" w:hint="eastAsia"/>
                <w:bCs/>
                <w:szCs w:val="21"/>
                <w:lang w:val="en-US" w:eastAsia="zh-CN"/>
              </w:rPr>
              <w:t>罗湖</w:t>
            </w:r>
            <w:r>
              <w:rPr>
                <w:rFonts w:ascii="宋体" w:hAnsi="宋体" w:cs="宋体" w:hint="eastAsia"/>
                <w:bCs/>
                <w:szCs w:val="21"/>
              </w:rPr>
              <w:t>区考点验收</w:t>
            </w:r>
            <w:r>
              <w:rPr>
                <w:rFonts w:ascii="宋体" w:hAnsi="宋体" w:cs="宋体" w:hint="eastAsia"/>
                <w:bCs/>
                <w:szCs w:val="21"/>
                <w:lang w:eastAsia="zh-CN"/>
              </w:rPr>
              <w:t>。</w:t>
            </w:r>
          </w:p>
        </w:tc>
      </w:tr>
      <w:tr>
        <w:tblPrEx>
          <w:tblW w:w="5000" w:type="pct"/>
          <w:tblInd w:w="0" w:type="dxa"/>
          <w:tblCellMar>
            <w:top w:w="0" w:type="dxa"/>
            <w:left w:w="108" w:type="dxa"/>
            <w:bottom w:w="0" w:type="dxa"/>
            <w:right w:w="108" w:type="dxa"/>
          </w:tblCellMar>
        </w:tblPrEx>
        <w:trPr>
          <w:trHeight w:val="350"/>
        </w:trPr>
        <w:tc>
          <w:tcPr>
            <w:tcW w:w="298" w:type="pct"/>
            <w:vMerge w:val="restart"/>
            <w:vAlign w:val="center"/>
          </w:tcPr>
          <w:p>
            <w:pPr>
              <w:jc w:val="center"/>
            </w:pPr>
            <w:r>
              <w:rPr>
                <w:rFonts w:hint="eastAsia"/>
                <w:b/>
              </w:rPr>
              <w:t>3</w:t>
            </w:r>
          </w:p>
        </w:tc>
        <w:tc>
          <w:tcPr>
            <w:tcW w:w="600" w:type="pct"/>
            <w:vMerge w:val="restart"/>
            <w:vAlign w:val="center"/>
          </w:tcPr>
          <w:p>
            <w:pPr>
              <w:spacing w:line="360" w:lineRule="exact"/>
              <w:jc w:val="center"/>
              <w:rPr>
                <w:rFonts w:ascii="宋体" w:hAnsi="宋体"/>
                <w:b/>
                <w:sz w:val="20"/>
                <w:szCs w:val="20"/>
              </w:rPr>
            </w:pPr>
            <w:r>
              <w:rPr>
                <w:rFonts w:ascii="宋体" w:hAnsi="宋体" w:hint="eastAsia"/>
                <w:b/>
                <w:sz w:val="20"/>
                <w:szCs w:val="20"/>
              </w:rPr>
              <w:t>关于违约</w:t>
            </w:r>
          </w:p>
        </w:tc>
        <w:tc>
          <w:tcPr>
            <w:tcW w:w="4101" w:type="pct"/>
          </w:tcPr>
          <w:p>
            <w:pPr>
              <w:rPr>
                <w:b/>
              </w:rPr>
            </w:pPr>
            <w:r>
              <w:rPr>
                <w:rFonts w:hint="eastAsia"/>
                <w:b/>
                <w:bCs w:val="0"/>
              </w:rPr>
              <w:t>3.1</w:t>
            </w:r>
            <w:r>
              <w:rPr>
                <w:rFonts w:ascii="宋体" w:hAnsi="宋体" w:cs="宋体" w:hint="eastAsia"/>
                <w:b/>
                <w:bCs w:val="0"/>
                <w:szCs w:val="21"/>
              </w:rPr>
              <w:t>违约责任：如投标供应商未按照投标文件中承诺的时间交货或提供服务，投标供应商应承担延期交货和延期服务的违约责任并赔偿采购人因此造成的实际经济损失。</w:t>
            </w:r>
          </w:p>
        </w:tc>
      </w:tr>
      <w:tr>
        <w:tblPrEx>
          <w:tblW w:w="5000" w:type="pct"/>
          <w:tblInd w:w="0" w:type="dxa"/>
          <w:tblCellMar>
            <w:top w:w="0" w:type="dxa"/>
            <w:left w:w="108" w:type="dxa"/>
            <w:bottom w:w="0" w:type="dxa"/>
            <w:right w:w="108" w:type="dxa"/>
          </w:tblCellMar>
        </w:tblPrEx>
        <w:trPr>
          <w:trHeight w:val="350"/>
        </w:trPr>
        <w:tc>
          <w:tcPr>
            <w:tcW w:w="298" w:type="pct"/>
            <w:vMerge/>
            <w:vAlign w:val="center"/>
          </w:tcPr>
          <w:p>
            <w:pPr>
              <w:jc w:val="center"/>
              <w:rPr>
                <w:b/>
              </w:rPr>
            </w:pPr>
          </w:p>
        </w:tc>
        <w:tc>
          <w:tcPr>
            <w:tcW w:w="600" w:type="pct"/>
            <w:vMerge/>
            <w:vAlign w:val="center"/>
          </w:tcPr>
          <w:p>
            <w:pPr>
              <w:jc w:val="center"/>
            </w:pPr>
          </w:p>
        </w:tc>
        <w:tc>
          <w:tcPr>
            <w:tcW w:w="4101" w:type="pct"/>
          </w:tcPr>
          <w:p>
            <w:pPr>
              <w:rPr>
                <w:b/>
                <w:color w:val="FF0000"/>
              </w:rPr>
            </w:pPr>
            <w:r>
              <w:rPr>
                <w:rFonts w:hint="eastAsia"/>
                <w:b/>
                <w:color w:val="FF0000"/>
              </w:rPr>
              <w:t>3.</w:t>
            </w:r>
            <w:r>
              <w:rPr>
                <w:rFonts w:hint="eastAsia"/>
                <w:b/>
                <w:color w:val="FF0000"/>
                <w:lang w:val="en-US" w:eastAsia="zh-CN"/>
              </w:rPr>
              <w:t>2</w:t>
            </w:r>
            <w:r>
              <w:rPr>
                <w:rFonts w:hint="eastAsia"/>
                <w:b/>
                <w:color w:val="FF0000"/>
              </w:rPr>
              <w:t>中标人所交付产品、工程或服务不符合其投标承诺的，或在投标阶段为了中标而盲目虚假承诺、低价恶性竞争，在履约阶段则通过偷工减料、以次充好而获取利润的，将被没收履约保证金，并被履约评价工作实施机构评为履约等级“差”并按主管部门相关规定处理。</w:t>
            </w:r>
          </w:p>
        </w:tc>
      </w:tr>
      <w:tr>
        <w:tblPrEx>
          <w:tblW w:w="5000" w:type="pct"/>
          <w:tblInd w:w="0" w:type="dxa"/>
          <w:tblCellMar>
            <w:top w:w="0" w:type="dxa"/>
            <w:left w:w="108" w:type="dxa"/>
            <w:bottom w:w="0" w:type="dxa"/>
            <w:right w:w="108" w:type="dxa"/>
          </w:tblCellMar>
        </w:tblPrEx>
        <w:trPr>
          <w:trHeight w:val="350"/>
        </w:trPr>
        <w:tc>
          <w:tcPr>
            <w:tcW w:w="298" w:type="pct"/>
            <w:vMerge w:val="restart"/>
            <w:vAlign w:val="center"/>
          </w:tcPr>
          <w:p>
            <w:pPr>
              <w:jc w:val="center"/>
              <w:rPr>
                <w:rFonts w:eastAsiaTheme="minorEastAsia" w:hint="eastAsia"/>
                <w:lang w:val="en-US" w:eastAsia="zh-CN"/>
              </w:rPr>
            </w:pPr>
            <w:r>
              <w:rPr>
                <w:rFonts w:hint="eastAsia"/>
                <w:lang w:val="en-US" w:eastAsia="zh-CN"/>
              </w:rPr>
              <w:t>4</w:t>
            </w:r>
          </w:p>
        </w:tc>
        <w:tc>
          <w:tcPr>
            <w:tcW w:w="600" w:type="pct"/>
            <w:vMerge w:val="restart"/>
            <w:vAlign w:val="center"/>
          </w:tcPr>
          <w:p>
            <w:pPr>
              <w:spacing w:line="360" w:lineRule="exact"/>
              <w:jc w:val="center"/>
              <w:rPr>
                <w:rFonts w:hint="eastAsia"/>
                <w:b/>
              </w:rPr>
            </w:pPr>
            <w:r>
              <w:rPr>
                <w:rFonts w:ascii="宋体" w:hAnsi="宋体" w:cs="宋体" w:hint="eastAsia"/>
                <w:b/>
                <w:bCs/>
                <w:color w:val="000000"/>
                <w:sz w:val="20"/>
                <w:szCs w:val="20"/>
              </w:rPr>
              <w:t>运输、安装条件</w:t>
            </w:r>
          </w:p>
        </w:tc>
        <w:tc>
          <w:tcPr>
            <w:tcW w:w="4101" w:type="pct"/>
            <w:vAlign w:val="center"/>
          </w:tcPr>
          <w:p>
            <w:pPr>
              <w:wordWrap w:val="0"/>
              <w:spacing w:line="276" w:lineRule="auto"/>
              <w:rPr>
                <w:b/>
              </w:rPr>
            </w:pPr>
            <w:r>
              <w:rPr>
                <w:rFonts w:ascii="宋体" w:hAnsi="宋体" w:cs="宋体" w:hint="eastAsia"/>
                <w:bCs/>
                <w:szCs w:val="21"/>
              </w:rPr>
              <w:t>2.1 投标供应商须在签订合同之日起 3天内向采购人提供设备的运行、安装、使用环境要求。</w:t>
            </w:r>
          </w:p>
        </w:tc>
      </w:tr>
      <w:tr>
        <w:tblPrEx>
          <w:tblW w:w="5000" w:type="pct"/>
          <w:tblInd w:w="0" w:type="dxa"/>
          <w:tblCellMar>
            <w:top w:w="0" w:type="dxa"/>
            <w:left w:w="108" w:type="dxa"/>
            <w:bottom w:w="0" w:type="dxa"/>
            <w:right w:w="108" w:type="dxa"/>
          </w:tblCellMar>
        </w:tblPrEx>
        <w:trPr>
          <w:trHeight w:val="350"/>
        </w:trPr>
        <w:tc>
          <w:tcPr>
            <w:tcW w:w="298" w:type="pct"/>
            <w:vMerge/>
            <w:vAlign w:val="center"/>
          </w:tcPr>
          <w:p>
            <w:pPr>
              <w:jc w:val="center"/>
              <w:rPr>
                <w:rFonts w:hint="eastAsia"/>
              </w:rPr>
            </w:pPr>
          </w:p>
        </w:tc>
        <w:tc>
          <w:tcPr>
            <w:tcW w:w="600" w:type="pct"/>
            <w:vMerge/>
            <w:vAlign w:val="center"/>
          </w:tcPr>
          <w:p>
            <w:pPr>
              <w:spacing w:line="360" w:lineRule="exact"/>
              <w:ind w:firstLine="422" w:firstLineChars="0"/>
              <w:jc w:val="center"/>
              <w:rPr>
                <w:rFonts w:hint="eastAsia"/>
                <w:b/>
              </w:rPr>
            </w:pPr>
          </w:p>
        </w:tc>
        <w:tc>
          <w:tcPr>
            <w:tcW w:w="4101" w:type="pct"/>
            <w:vAlign w:val="center"/>
          </w:tcPr>
          <w:p>
            <w:pPr>
              <w:wordWrap w:val="0"/>
              <w:spacing w:line="276" w:lineRule="auto"/>
              <w:rPr>
                <w:b/>
              </w:rPr>
            </w:pPr>
            <w:r>
              <w:rPr>
                <w:rFonts w:ascii="宋体" w:hAnsi="宋体" w:cs="宋体" w:hint="eastAsia"/>
                <w:bCs/>
                <w:szCs w:val="21"/>
              </w:rPr>
              <w:t>2.2 具备安装条件后30个工作日内完成安装。</w:t>
            </w:r>
          </w:p>
        </w:tc>
      </w:tr>
      <w:tr>
        <w:tblPrEx>
          <w:tblW w:w="5000" w:type="pct"/>
          <w:tblInd w:w="0" w:type="dxa"/>
          <w:tblCellMar>
            <w:top w:w="0" w:type="dxa"/>
            <w:left w:w="108" w:type="dxa"/>
            <w:bottom w:w="0" w:type="dxa"/>
            <w:right w:w="108" w:type="dxa"/>
          </w:tblCellMar>
        </w:tblPrEx>
        <w:trPr>
          <w:trHeight w:val="350"/>
        </w:trPr>
        <w:tc>
          <w:tcPr>
            <w:tcW w:w="298" w:type="pct"/>
            <w:vMerge w:val="restart"/>
            <w:vAlign w:val="center"/>
          </w:tcPr>
          <w:p>
            <w:pPr>
              <w:jc w:val="center"/>
              <w:rPr>
                <w:rFonts w:eastAsiaTheme="minorEastAsia" w:hint="eastAsia"/>
                <w:lang w:val="en-US" w:eastAsia="zh-CN"/>
              </w:rPr>
            </w:pPr>
            <w:r>
              <w:rPr>
                <w:rFonts w:hint="eastAsia"/>
                <w:lang w:val="en-US" w:eastAsia="zh-CN"/>
              </w:rPr>
              <w:t>5</w:t>
            </w:r>
          </w:p>
        </w:tc>
        <w:tc>
          <w:tcPr>
            <w:tcW w:w="600" w:type="pct"/>
            <w:vMerge w:val="restart"/>
            <w:vAlign w:val="center"/>
          </w:tcPr>
          <w:p>
            <w:pPr>
              <w:spacing w:line="360" w:lineRule="exact"/>
              <w:jc w:val="center"/>
              <w:rPr>
                <w:rFonts w:hint="eastAsia"/>
                <w:b/>
              </w:rPr>
            </w:pPr>
            <w:r>
              <w:rPr>
                <w:rFonts w:ascii="宋体" w:hAnsi="宋体"/>
                <w:b/>
                <w:sz w:val="20"/>
                <w:szCs w:val="20"/>
              </w:rPr>
              <w:t>培训</w:t>
            </w:r>
          </w:p>
        </w:tc>
        <w:tc>
          <w:tcPr>
            <w:tcW w:w="4101" w:type="pct"/>
            <w:vAlign w:val="top"/>
          </w:tcPr>
          <w:p>
            <w:pPr>
              <w:wordWrap w:val="0"/>
              <w:spacing w:line="276" w:lineRule="auto"/>
              <w:rPr>
                <w:b/>
              </w:rPr>
            </w:pPr>
            <w:r>
              <w:rPr>
                <w:rFonts w:ascii="宋体" w:hAnsi="宋体" w:cs="宋体" w:hint="eastAsia"/>
                <w:bCs/>
                <w:szCs w:val="21"/>
              </w:rPr>
              <w:t>3.1投标供应商应派专业技术人员免费对采购单位指定人员进行定期培训及指导，直至其完全掌握设备的基本故障处理技术。</w:t>
            </w:r>
          </w:p>
        </w:tc>
      </w:tr>
      <w:tr>
        <w:tblPrEx>
          <w:tblW w:w="5000" w:type="pct"/>
          <w:tblInd w:w="0" w:type="dxa"/>
          <w:tblCellMar>
            <w:top w:w="0" w:type="dxa"/>
            <w:left w:w="108" w:type="dxa"/>
            <w:bottom w:w="0" w:type="dxa"/>
            <w:right w:w="108" w:type="dxa"/>
          </w:tblCellMar>
        </w:tblPrEx>
        <w:trPr>
          <w:trHeight w:val="350"/>
        </w:trPr>
        <w:tc>
          <w:tcPr>
            <w:tcW w:w="298" w:type="pct"/>
            <w:vMerge/>
            <w:vAlign w:val="center"/>
          </w:tcPr>
          <w:p>
            <w:pPr>
              <w:jc w:val="center"/>
              <w:rPr>
                <w:rFonts w:hint="eastAsia"/>
              </w:rPr>
            </w:pPr>
          </w:p>
        </w:tc>
        <w:tc>
          <w:tcPr>
            <w:tcW w:w="600" w:type="pct"/>
            <w:vMerge/>
            <w:vAlign w:val="center"/>
          </w:tcPr>
          <w:p>
            <w:pPr>
              <w:spacing w:line="360" w:lineRule="exact"/>
              <w:ind w:firstLine="402" w:firstLineChars="0"/>
              <w:jc w:val="center"/>
              <w:rPr>
                <w:rFonts w:hint="eastAsia"/>
                <w:b/>
              </w:rPr>
            </w:pPr>
          </w:p>
        </w:tc>
        <w:tc>
          <w:tcPr>
            <w:tcW w:w="4101" w:type="pct"/>
            <w:vAlign w:val="top"/>
          </w:tcPr>
          <w:p>
            <w:pPr>
              <w:wordWrap w:val="0"/>
              <w:spacing w:line="276" w:lineRule="auto"/>
              <w:rPr>
                <w:b/>
              </w:rPr>
            </w:pPr>
            <w:r>
              <w:rPr>
                <w:rFonts w:ascii="宋体" w:hAnsi="宋体" w:cs="宋体" w:hint="eastAsia"/>
                <w:bCs/>
                <w:szCs w:val="21"/>
              </w:rPr>
              <w:t>3.2 现场培训：投标供应商应提供现场技术培训，保证使用人员正常操作设备的各种功能。</w:t>
            </w:r>
          </w:p>
        </w:tc>
      </w:tr>
      <w:tr>
        <w:tblPrEx>
          <w:tblW w:w="5000" w:type="pct"/>
          <w:tblInd w:w="0" w:type="dxa"/>
          <w:tblCellMar>
            <w:top w:w="0" w:type="dxa"/>
            <w:left w:w="108" w:type="dxa"/>
            <w:bottom w:w="0" w:type="dxa"/>
            <w:right w:w="108" w:type="dxa"/>
          </w:tblCellMar>
        </w:tblPrEx>
        <w:trPr>
          <w:trHeight w:val="350"/>
        </w:trPr>
        <w:tc>
          <w:tcPr>
            <w:tcW w:w="298" w:type="pct"/>
            <w:vMerge w:val="restart"/>
            <w:vAlign w:val="center"/>
          </w:tcPr>
          <w:p>
            <w:pPr>
              <w:jc w:val="center"/>
              <w:rPr>
                <w:rFonts w:eastAsiaTheme="minorEastAsia" w:hint="eastAsia"/>
                <w:lang w:val="en-US" w:eastAsia="zh-CN"/>
              </w:rPr>
            </w:pPr>
            <w:r>
              <w:rPr>
                <w:rFonts w:hint="eastAsia"/>
                <w:lang w:val="en-US" w:eastAsia="zh-CN"/>
              </w:rPr>
              <w:t>6</w:t>
            </w:r>
          </w:p>
        </w:tc>
        <w:tc>
          <w:tcPr>
            <w:tcW w:w="600" w:type="pct"/>
            <w:vMerge w:val="restart"/>
            <w:vAlign w:val="center"/>
          </w:tcPr>
          <w:p>
            <w:pPr>
              <w:spacing w:line="360" w:lineRule="exact"/>
              <w:jc w:val="center"/>
              <w:rPr>
                <w:rFonts w:hint="eastAsia"/>
                <w:b/>
              </w:rPr>
            </w:pPr>
            <w:r>
              <w:rPr>
                <w:rFonts w:ascii="宋体" w:hAnsi="宋体"/>
                <w:b/>
                <w:sz w:val="20"/>
                <w:szCs w:val="20"/>
              </w:rPr>
              <w:t>知识产权</w:t>
            </w:r>
          </w:p>
        </w:tc>
        <w:tc>
          <w:tcPr>
            <w:tcW w:w="4101" w:type="pct"/>
            <w:vAlign w:val="top"/>
          </w:tcPr>
          <w:p>
            <w:pPr>
              <w:wordWrap w:val="0"/>
              <w:spacing w:line="276" w:lineRule="auto"/>
              <w:rPr>
                <w:b/>
              </w:rPr>
            </w:pPr>
            <w:r>
              <w:rPr>
                <w:rFonts w:ascii="宋体" w:hAnsi="宋体" w:cs="宋体" w:hint="eastAsia"/>
                <w:bCs/>
                <w:szCs w:val="21"/>
              </w:rPr>
              <w:t>4.1中标人保证采购人在使用本合同项下货物或货物的任何一部分时，不会产生因第三方提出的包括但不限于侵犯其专利权、商标权、工业设计权等知识产权和侵犯其所有权、抵押权等物权及其他权利而引发的纠纷。如有纠纷，中标人应承担全部责任。</w:t>
            </w:r>
          </w:p>
        </w:tc>
      </w:tr>
      <w:tr>
        <w:tblPrEx>
          <w:tblW w:w="5000" w:type="pct"/>
          <w:tblInd w:w="0" w:type="dxa"/>
          <w:tblCellMar>
            <w:top w:w="0" w:type="dxa"/>
            <w:left w:w="108" w:type="dxa"/>
            <w:bottom w:w="0" w:type="dxa"/>
            <w:right w:w="108" w:type="dxa"/>
          </w:tblCellMar>
        </w:tblPrEx>
        <w:trPr>
          <w:trHeight w:val="350"/>
        </w:trPr>
        <w:tc>
          <w:tcPr>
            <w:tcW w:w="298" w:type="pct"/>
            <w:vMerge/>
            <w:vAlign w:val="center"/>
          </w:tcPr>
          <w:p>
            <w:pPr>
              <w:jc w:val="center"/>
              <w:rPr>
                <w:rFonts w:hint="eastAsia"/>
              </w:rPr>
            </w:pPr>
          </w:p>
        </w:tc>
        <w:tc>
          <w:tcPr>
            <w:tcW w:w="600" w:type="pct"/>
            <w:vMerge/>
            <w:vAlign w:val="center"/>
          </w:tcPr>
          <w:p>
            <w:pPr>
              <w:spacing w:line="360" w:lineRule="exact"/>
              <w:ind w:firstLine="422" w:firstLineChars="0"/>
              <w:jc w:val="center"/>
              <w:rPr>
                <w:rFonts w:hint="eastAsia"/>
                <w:b/>
              </w:rPr>
            </w:pPr>
          </w:p>
        </w:tc>
        <w:tc>
          <w:tcPr>
            <w:tcW w:w="4101" w:type="pct"/>
            <w:vAlign w:val="top"/>
          </w:tcPr>
          <w:p>
            <w:pPr>
              <w:wordWrap w:val="0"/>
              <w:spacing w:line="276" w:lineRule="auto"/>
              <w:rPr>
                <w:b/>
              </w:rPr>
            </w:pPr>
            <w:r>
              <w:rPr>
                <w:rFonts w:ascii="宋体" w:hAnsi="宋体" w:cs="宋体" w:hint="eastAsia"/>
                <w:bCs/>
                <w:szCs w:val="21"/>
              </w:rPr>
              <w:t>4.2采购人购买产品后，有权对该产品与其他设备进行配套、整合或适当改进，而免受侵犯专利权的起诉。</w:t>
            </w:r>
          </w:p>
        </w:tc>
      </w:tr>
      <w:tr>
        <w:tblPrEx>
          <w:tblW w:w="5000" w:type="pct"/>
          <w:tblInd w:w="0" w:type="dxa"/>
          <w:tblCellMar>
            <w:top w:w="0" w:type="dxa"/>
            <w:left w:w="108" w:type="dxa"/>
            <w:bottom w:w="0" w:type="dxa"/>
            <w:right w:w="108" w:type="dxa"/>
          </w:tblCellMar>
        </w:tblPrEx>
        <w:trPr>
          <w:trHeight w:val="350"/>
        </w:trPr>
        <w:tc>
          <w:tcPr>
            <w:tcW w:w="298" w:type="pct"/>
            <w:vAlign w:val="center"/>
          </w:tcPr>
          <w:p>
            <w:pPr>
              <w:jc w:val="center"/>
              <w:rPr>
                <w:rFonts w:eastAsiaTheme="minorEastAsia" w:hint="eastAsia"/>
                <w:lang w:eastAsia="zh-CN"/>
              </w:rPr>
            </w:pPr>
            <w:r>
              <w:rPr>
                <w:rFonts w:hint="eastAsia"/>
                <w:lang w:val="en-US" w:eastAsia="zh-CN"/>
              </w:rPr>
              <w:t>7</w:t>
            </w:r>
          </w:p>
        </w:tc>
        <w:tc>
          <w:tcPr>
            <w:tcW w:w="600" w:type="pct"/>
            <w:vAlign w:val="center"/>
          </w:tcPr>
          <w:p>
            <w:pPr>
              <w:jc w:val="center"/>
              <w:rPr>
                <w:b/>
              </w:rPr>
            </w:pPr>
            <w:r>
              <w:rPr>
                <w:rFonts w:hint="eastAsia"/>
                <w:b/>
              </w:rPr>
              <w:t>售后维保及应急要求</w:t>
            </w:r>
          </w:p>
        </w:tc>
        <w:tc>
          <w:tcPr>
            <w:tcW w:w="4101" w:type="pct"/>
            <w:vAlign w:val="center"/>
          </w:tcPr>
          <w:p>
            <w:pPr>
              <w:wordWrap w:val="0"/>
              <w:spacing w:line="276" w:lineRule="auto"/>
              <w:rPr>
                <w:rFonts w:hint="eastAsia"/>
                <w:b w:val="0"/>
                <w:bCs/>
              </w:rPr>
            </w:pPr>
            <w:r>
              <w:rPr>
                <w:rFonts w:hint="eastAsia"/>
                <w:b w:val="0"/>
                <w:bCs/>
              </w:rPr>
              <w:t>1.服务期限不低于三年</w:t>
            </w:r>
            <w:r>
              <w:rPr>
                <w:rFonts w:eastAsia="宋体" w:hint="eastAsia"/>
                <w:b w:val="0"/>
                <w:bCs/>
                <w:lang w:eastAsia="zh-CN"/>
              </w:rPr>
              <w:t>：</w:t>
            </w:r>
          </w:p>
          <w:p>
            <w:pPr>
              <w:wordWrap w:val="0"/>
              <w:spacing w:line="276" w:lineRule="auto"/>
              <w:rPr>
                <w:rFonts w:hint="eastAsia"/>
                <w:b w:val="0"/>
                <w:bCs/>
              </w:rPr>
            </w:pPr>
            <w:r>
              <w:rPr>
                <w:rFonts w:hint="eastAsia"/>
                <w:b w:val="0"/>
                <w:bCs/>
              </w:rPr>
              <w:t>2.服务期限含硬软件、系统更新、为考虑不同品牌平台之间的对接融合，供应商必须公开软件的 API接口，并负责对接服务</w:t>
            </w:r>
            <w:r>
              <w:rPr>
                <w:rFonts w:eastAsia="宋体" w:hint="eastAsia"/>
                <w:b w:val="0"/>
                <w:bCs/>
                <w:lang w:eastAsia="zh-CN"/>
              </w:rPr>
              <w:t>：</w:t>
            </w:r>
          </w:p>
          <w:p>
            <w:pPr>
              <w:wordWrap w:val="0"/>
              <w:spacing w:line="276" w:lineRule="auto"/>
              <w:rPr>
                <w:rFonts w:hint="eastAsia"/>
                <w:b w:val="0"/>
                <w:bCs/>
              </w:rPr>
            </w:pPr>
            <w:r>
              <w:rPr>
                <w:rFonts w:hint="eastAsia"/>
                <w:b w:val="0"/>
                <w:bCs/>
              </w:rPr>
              <w:t>3.不少于两次的售后服务培训</w:t>
            </w:r>
            <w:r>
              <w:rPr>
                <w:rFonts w:eastAsia="宋体" w:hint="eastAsia"/>
                <w:b w:val="0"/>
                <w:bCs/>
                <w:lang w:eastAsia="zh-CN"/>
              </w:rPr>
              <w:t>；</w:t>
            </w:r>
          </w:p>
          <w:p>
            <w:pPr>
              <w:wordWrap w:val="0"/>
              <w:spacing w:line="276" w:lineRule="auto"/>
              <w:rPr>
                <w:b w:val="0"/>
                <w:bCs/>
              </w:rPr>
            </w:pPr>
            <w:r>
              <w:rPr>
                <w:rFonts w:hint="eastAsia"/>
                <w:b w:val="0"/>
                <w:bCs/>
              </w:rPr>
              <w:t>4.原厂本地化售后服务要求，出现问题应一小时内响应、两小时内到场、7*24 小时原厂技术线上支持</w:t>
            </w:r>
          </w:p>
        </w:tc>
      </w:tr>
      <w:tr>
        <w:tblPrEx>
          <w:tblW w:w="5000" w:type="pct"/>
          <w:tblInd w:w="0" w:type="dxa"/>
          <w:tblCellMar>
            <w:top w:w="0" w:type="dxa"/>
            <w:left w:w="108" w:type="dxa"/>
            <w:bottom w:w="0" w:type="dxa"/>
            <w:right w:w="108" w:type="dxa"/>
          </w:tblCellMar>
        </w:tblPrEx>
        <w:trPr>
          <w:trHeight w:val="350"/>
        </w:trPr>
        <w:tc>
          <w:tcPr>
            <w:tcW w:w="298" w:type="pct"/>
            <w:vAlign w:val="center"/>
          </w:tcPr>
          <w:p>
            <w:pPr>
              <w:jc w:val="center"/>
              <w:rPr>
                <w:rFonts w:hint="default"/>
                <w:lang w:val="en-US" w:eastAsia="zh-CN"/>
              </w:rPr>
            </w:pPr>
            <w:r>
              <w:rPr>
                <w:rFonts w:hint="eastAsia"/>
                <w:lang w:val="en-US" w:eastAsia="zh-CN"/>
              </w:rPr>
              <w:t>8</w:t>
            </w:r>
          </w:p>
        </w:tc>
        <w:tc>
          <w:tcPr>
            <w:tcW w:w="600" w:type="pct"/>
            <w:vAlign w:val="center"/>
          </w:tcPr>
          <w:p>
            <w:pPr>
              <w:jc w:val="center"/>
              <w:rPr>
                <w:rFonts w:ascii="Times New Roman" w:eastAsia="Times New Roman" w:hAnsi="Times New Roman" w:cs="Times New Roman"/>
                <w:b/>
                <w:sz w:val="24"/>
                <w:szCs w:val="24"/>
                <w:lang w:val="en-US" w:eastAsia="zh-CN" w:bidi="ar-SA"/>
              </w:rPr>
            </w:pPr>
            <w:r>
              <w:rPr>
                <w:rFonts w:ascii="宋体" w:hAnsi="宋体"/>
                <w:b/>
                <w:color w:val="000000"/>
                <w:sz w:val="20"/>
                <w:szCs w:val="20"/>
              </w:rPr>
              <w:t>其他</w:t>
            </w:r>
          </w:p>
        </w:tc>
        <w:tc>
          <w:tcPr>
            <w:tcW w:w="4101" w:type="pct"/>
            <w:vAlign w:val="center"/>
          </w:tcPr>
          <w:p>
            <w:pPr>
              <w:wordWrap w:val="0"/>
              <w:spacing w:line="276" w:lineRule="auto"/>
              <w:rPr>
                <w:rFonts w:ascii="Times New Roman" w:eastAsia="Times New Roman" w:hAnsi="Times New Roman" w:cs="Times New Roman"/>
                <w:b/>
                <w:sz w:val="24"/>
                <w:szCs w:val="24"/>
                <w:lang w:val="en-US" w:eastAsia="zh-CN" w:bidi="ar-SA"/>
              </w:rPr>
            </w:pPr>
            <w:r>
              <w:rPr>
                <w:rFonts w:ascii="宋体" w:hAnsi="宋体" w:cs="宋体"/>
                <w:bCs/>
                <w:szCs w:val="21"/>
              </w:rPr>
              <w:t>5</w:t>
            </w:r>
            <w:r>
              <w:rPr>
                <w:rFonts w:ascii="宋体" w:hAnsi="宋体" w:cs="宋体" w:hint="eastAsia"/>
                <w:bCs/>
                <w:szCs w:val="21"/>
              </w:rPr>
              <w:t>.1 投标供应商应按其投标文件中的承诺，进行其他售后服务工作。</w:t>
            </w:r>
          </w:p>
        </w:tc>
      </w:tr>
    </w:tbl>
    <w:p>
      <w:pPr>
        <w:pStyle w:val="1"/>
        <w:rPr>
          <w:highlight w:val="yellow"/>
        </w:rPr>
      </w:pPr>
    </w:p>
    <w:p>
      <w:pPr>
        <w:pStyle w:val="Heading3"/>
        <w:jc w:val="center"/>
        <w:rPr>
          <w:sz w:val="28"/>
          <w:szCs w:val="28"/>
          <w:highlight w:val="yellow"/>
        </w:rPr>
      </w:pPr>
      <w:r>
        <w:rPr>
          <w:rFonts w:hint="eastAsia"/>
          <w:sz w:val="28"/>
          <w:szCs w:val="28"/>
          <w:highlight w:val="yellow"/>
          <w:lang w:val="en-US" w:eastAsia="zh-CN"/>
        </w:rPr>
        <w:t>六、</w:t>
      </w:r>
      <w:r>
        <w:rPr>
          <w:rFonts w:hint="eastAsia"/>
          <w:sz w:val="28"/>
          <w:szCs w:val="28"/>
          <w:highlight w:val="yellow"/>
        </w:rPr>
        <w:t>现场演示要求</w:t>
      </w:r>
    </w:p>
    <w:p>
      <w:pPr>
        <w:ind w:firstLine="480" w:firstLineChars="200"/>
        <w:rPr>
          <w:rFonts w:ascii="Calibri" w:hAnsi="Calibri"/>
          <w:b/>
          <w:szCs w:val="22"/>
        </w:rPr>
      </w:pPr>
      <w:r>
        <w:rPr>
          <w:rFonts w:ascii="Calibri" w:hAnsi="Calibri" w:hint="eastAsia"/>
          <w:b/>
          <w:szCs w:val="22"/>
        </w:rPr>
        <w:t>（一）总体要求：</w:t>
      </w:r>
    </w:p>
    <w:p>
      <w:pPr>
        <w:ind w:firstLine="480" w:firstLineChars="200"/>
        <w:rPr>
          <w:rFonts w:ascii="宋体" w:hAnsi="宋体"/>
          <w:color w:val="0000FF"/>
          <w:szCs w:val="22"/>
        </w:rPr>
      </w:pPr>
      <w:r>
        <w:rPr>
          <w:rFonts w:ascii="Calibri" w:hAnsi="Calibri" w:hint="eastAsia"/>
          <w:b/>
          <w:szCs w:val="22"/>
        </w:rPr>
        <w:t>演示供应商签到时间：</w:t>
      </w:r>
      <w:r>
        <w:rPr>
          <w:rFonts w:ascii="Calibri" w:hAnsi="Calibri" w:hint="eastAsia"/>
          <w:szCs w:val="22"/>
        </w:rPr>
        <w:t>投标（谈判）供应商授权委托人</w:t>
      </w:r>
      <w:r>
        <w:rPr>
          <w:rFonts w:ascii="宋体" w:eastAsia="宋体" w:hAnsi="宋体" w:cs="宋体" w:hint="eastAsia"/>
          <w:color w:val="0000FF"/>
          <w:sz w:val="24"/>
          <w:szCs w:val="24"/>
        </w:rPr>
        <w:t>需在本项目</w:t>
      </w:r>
      <w:r>
        <w:rPr>
          <w:rFonts w:ascii="宋体" w:eastAsia="宋体" w:hAnsi="宋体" w:cs="宋体" w:hint="eastAsia"/>
          <w:color w:val="0000FF"/>
          <w:sz w:val="24"/>
          <w:szCs w:val="24"/>
          <w:lang w:val="en-US" w:eastAsia="zh-CN"/>
        </w:rPr>
        <w:t>截标时间后1小时内</w:t>
      </w:r>
      <w:r>
        <w:rPr>
          <w:rFonts w:ascii="宋体" w:eastAsia="宋体" w:hAnsi="宋体" w:cs="宋体" w:hint="eastAsia"/>
          <w:color w:val="0000FF"/>
          <w:sz w:val="24"/>
          <w:szCs w:val="24"/>
        </w:rPr>
        <w:t>（北京时间）</w:t>
      </w:r>
      <w:r>
        <w:rPr>
          <w:rFonts w:ascii="宋体" w:eastAsia="宋体" w:hAnsi="宋体" w:cs="宋体" w:hint="eastAsia"/>
          <w:color w:val="0000FF"/>
          <w:sz w:val="24"/>
          <w:szCs w:val="24"/>
          <w:lang w:val="en-US" w:eastAsia="zh-CN"/>
        </w:rPr>
        <w:t>进行签到</w:t>
      </w:r>
      <w:r>
        <w:rPr>
          <w:rFonts w:ascii="宋体" w:hAnsi="宋体" w:hint="eastAsia"/>
          <w:color w:val="0000FF"/>
          <w:szCs w:val="22"/>
        </w:rPr>
        <w:t>。</w:t>
      </w:r>
    </w:p>
    <w:p>
      <w:pPr>
        <w:ind w:firstLine="480" w:firstLineChars="200"/>
        <w:rPr>
          <w:rFonts w:ascii="Calibri" w:hAnsi="Calibri"/>
          <w:szCs w:val="22"/>
        </w:rPr>
      </w:pPr>
      <w:r>
        <w:rPr>
          <w:rFonts w:ascii="Calibri" w:hAnsi="Calibri" w:hint="eastAsia"/>
          <w:b/>
          <w:szCs w:val="22"/>
        </w:rPr>
        <w:t>签到地点：</w:t>
      </w:r>
      <w:r>
        <w:rPr>
          <w:rFonts w:ascii="Calibri" w:eastAsia="宋体" w:hAnsi="Calibri" w:hint="eastAsia"/>
          <w:color w:val="FF0000"/>
          <w:szCs w:val="22"/>
          <w:lang w:val="en-US" w:eastAsia="zh-CN"/>
        </w:rPr>
        <w:t>正采（深圳）招标代理有限公司</w:t>
      </w:r>
      <w:r>
        <w:rPr>
          <w:rFonts w:ascii="Calibri" w:hAnsi="Calibri" w:hint="eastAsia"/>
          <w:color w:val="FF0000"/>
          <w:szCs w:val="22"/>
        </w:rPr>
        <w:t>（地址：深圳市龙岗区龙城街道盛平社区龙平西路12号天集雅苑1号楼A栋A30</w:t>
      </w:r>
      <w:r>
        <w:rPr>
          <w:rFonts w:ascii="Calibri" w:eastAsia="宋体" w:hAnsi="Calibri" w:hint="eastAsia"/>
          <w:color w:val="FF0000"/>
          <w:szCs w:val="22"/>
          <w:lang w:val="en-US" w:eastAsia="zh-CN"/>
        </w:rPr>
        <w:t>3</w:t>
      </w:r>
      <w:r>
        <w:rPr>
          <w:rFonts w:ascii="Calibri" w:hAnsi="Calibri" w:hint="eastAsia"/>
          <w:color w:val="FF0000"/>
          <w:szCs w:val="22"/>
        </w:rPr>
        <w:t>）</w:t>
      </w:r>
      <w:r>
        <w:rPr>
          <w:rFonts w:ascii="Calibri" w:hAnsi="Calibri" w:hint="eastAsia"/>
          <w:szCs w:val="22"/>
        </w:rPr>
        <w:t>，按现场工作人员指引填写《现场演示签到表》。</w:t>
      </w:r>
    </w:p>
    <w:p>
      <w:pPr>
        <w:ind w:firstLine="480" w:firstLineChars="200"/>
        <w:rPr>
          <w:rFonts w:ascii="Calibri" w:hAnsi="Calibri"/>
          <w:b/>
          <w:szCs w:val="22"/>
        </w:rPr>
      </w:pPr>
      <w:r>
        <w:rPr>
          <w:rFonts w:ascii="Calibri" w:hAnsi="Calibri" w:hint="eastAsia"/>
          <w:b/>
          <w:szCs w:val="22"/>
        </w:rPr>
        <w:t>演示设备：</w:t>
      </w:r>
    </w:p>
    <w:p>
      <w:pPr>
        <w:ind w:firstLine="480" w:firstLineChars="200"/>
        <w:rPr>
          <w:rFonts w:ascii="Calibri" w:hAnsi="Calibri"/>
          <w:szCs w:val="22"/>
        </w:rPr>
      </w:pPr>
      <w:r>
        <w:rPr>
          <w:rFonts w:ascii="Calibri" w:hAnsi="Calibri" w:hint="eastAsia"/>
          <w:b/>
          <w:szCs w:val="22"/>
        </w:rPr>
        <w:t>（1）</w:t>
      </w:r>
      <w:r>
        <w:rPr>
          <w:rFonts w:ascii="Calibri" w:eastAsia="宋体" w:hAnsi="Calibri" w:hint="eastAsia"/>
          <w:szCs w:val="22"/>
          <w:lang w:eastAsia="zh-CN"/>
        </w:rPr>
        <w:t>正采（深圳）招标代理有限公司</w:t>
      </w:r>
      <w:r>
        <w:rPr>
          <w:rFonts w:ascii="Calibri" w:hAnsi="Calibri" w:hint="eastAsia"/>
          <w:szCs w:val="22"/>
        </w:rPr>
        <w:t>仅提供演示场地、电源接口和投影仪（含普通 VGA 数据线）。</w:t>
      </w:r>
    </w:p>
    <w:p>
      <w:pPr>
        <w:ind w:firstLine="480" w:firstLineChars="200"/>
        <w:rPr>
          <w:rFonts w:ascii="Calibri" w:hAnsi="Calibri"/>
          <w:szCs w:val="22"/>
        </w:rPr>
      </w:pPr>
      <w:r>
        <w:rPr>
          <w:rFonts w:ascii="Calibri" w:hAnsi="Calibri" w:hint="eastAsia"/>
          <w:szCs w:val="22"/>
        </w:rPr>
        <w:t>（2）演示电脑和电源线、U 盘等存储设备、投影转换接头等能完成方案讲解的便携设备（具体以自身实际需要为准）由投标（谈判）供应商授权委托人自行携带，因设备无法演示的由供应商自行负责，由于场地有限，建议不携带过大设备。</w:t>
      </w:r>
    </w:p>
    <w:p>
      <w:pPr>
        <w:ind w:firstLine="480" w:firstLineChars="200"/>
        <w:rPr>
          <w:rFonts w:ascii="Calibri" w:hAnsi="Calibri"/>
          <w:szCs w:val="22"/>
        </w:rPr>
      </w:pPr>
      <w:r>
        <w:rPr>
          <w:rFonts w:ascii="Calibri" w:hAnsi="Calibri" w:hint="eastAsia"/>
          <w:b/>
          <w:szCs w:val="22"/>
        </w:rPr>
        <w:t>演示时间、人员要求：</w:t>
      </w:r>
      <w:r>
        <w:rPr>
          <w:rFonts w:ascii="Calibri" w:hAnsi="Calibri" w:hint="eastAsia"/>
          <w:szCs w:val="22"/>
        </w:rPr>
        <w:t>每个投标（谈判）供应商现场演示时间不超过</w:t>
      </w:r>
      <w:r>
        <w:rPr>
          <w:rFonts w:ascii="Calibri" w:eastAsia="宋体" w:hAnsi="Calibri" w:hint="eastAsia"/>
          <w:szCs w:val="22"/>
          <w:lang w:val="en-US" w:eastAsia="zh-CN"/>
        </w:rPr>
        <w:t>15</w:t>
      </w:r>
      <w:r>
        <w:rPr>
          <w:rFonts w:ascii="Calibri" w:hAnsi="Calibri" w:hint="eastAsia"/>
          <w:szCs w:val="22"/>
        </w:rPr>
        <w:t>分钟（期间评委可能会进行提问，并有权酌情延长时间）。现场演示人员不得超过</w:t>
      </w:r>
      <w:r>
        <w:rPr>
          <w:rFonts w:ascii="宋体" w:hAnsi="宋体" w:hint="eastAsia"/>
          <w:color w:val="0000FF"/>
          <w:szCs w:val="22"/>
        </w:rPr>
        <w:t>2</w:t>
      </w:r>
      <w:r>
        <w:rPr>
          <w:rFonts w:ascii="Calibri" w:hAnsi="Calibri" w:hint="eastAsia"/>
          <w:szCs w:val="22"/>
        </w:rPr>
        <w:t>人。</w:t>
      </w:r>
    </w:p>
    <w:p>
      <w:pPr>
        <w:ind w:firstLine="480" w:firstLineChars="200"/>
        <w:rPr>
          <w:rFonts w:ascii="Calibri" w:hAnsi="Calibri"/>
          <w:b/>
          <w:szCs w:val="22"/>
        </w:rPr>
      </w:pPr>
      <w:r>
        <w:rPr>
          <w:rFonts w:ascii="Calibri" w:hAnsi="Calibri" w:hint="eastAsia"/>
          <w:b/>
          <w:szCs w:val="22"/>
        </w:rPr>
        <w:t>（二）具体程序：</w:t>
      </w:r>
    </w:p>
    <w:p>
      <w:pPr>
        <w:ind w:firstLine="480" w:firstLineChars="200"/>
        <w:rPr>
          <w:rFonts w:ascii="Calibri" w:hAnsi="Calibri"/>
          <w:color w:val="FF0000"/>
          <w:szCs w:val="22"/>
        </w:rPr>
      </w:pPr>
      <w:r>
        <w:rPr>
          <w:rFonts w:ascii="Calibri" w:hAnsi="Calibri" w:hint="eastAsia"/>
          <w:color w:val="FF0000"/>
          <w:szCs w:val="22"/>
        </w:rPr>
        <w:t>1、投标（谈判）供应商授权委托人需在现场演示签到截止时间前，提供法定代表人（负责人）授权委托书（加盖公章）、授权委托人身份证（港澳台居民可提供来往通行证；非中国国籍管辖范围人员，可提供公安部门认可的身份证明材料，下同）原件，到</w:t>
      </w:r>
      <w:bookmarkStart w:id="32" w:name="_GoBack"/>
      <w:bookmarkEnd w:id="32"/>
      <w:r>
        <w:rPr>
          <w:rFonts w:ascii="Calibri" w:hAnsi="Calibri" w:hint="eastAsia"/>
          <w:color w:val="FF0000"/>
          <w:szCs w:val="22"/>
        </w:rPr>
        <w:t>指定签到地点按现场工作人员指引填写《现场演示签到表》。</w:t>
      </w:r>
    </w:p>
    <w:p>
      <w:pPr>
        <w:ind w:firstLine="480" w:firstLineChars="200"/>
        <w:rPr>
          <w:rFonts w:ascii="Calibri" w:hAnsi="Calibri"/>
          <w:szCs w:val="22"/>
        </w:rPr>
      </w:pPr>
      <w:r>
        <w:rPr>
          <w:rFonts w:ascii="Calibri" w:hAnsi="Calibri" w:hint="eastAsia"/>
          <w:szCs w:val="22"/>
        </w:rPr>
        <w:t>特别注意事项：（1）资料提供不齐全的，不予签到；（2）招标公告规定的截止时间后，不再受理签到；（3）未进行签到的人员，不能参与现场演示；</w:t>
      </w:r>
    </w:p>
    <w:p>
      <w:pPr>
        <w:ind w:firstLine="480" w:firstLineChars="200"/>
        <w:rPr>
          <w:rFonts w:ascii="Calibri" w:hAnsi="Calibri"/>
          <w:szCs w:val="22"/>
        </w:rPr>
      </w:pPr>
      <w:r>
        <w:rPr>
          <w:rFonts w:ascii="Calibri" w:hAnsi="Calibri" w:hint="eastAsia"/>
          <w:szCs w:val="22"/>
        </w:rPr>
        <w:t>2、签到截止时间后正式进行现场演示。现场演示正式开始前将进行身份核对；核对内容为现场演示人员提供的“法定代表人（负责人）授权委托书（加盖公章）、授权委托人身份证原件”。资料不齐全的人员，不得参与现场演示。</w:t>
      </w:r>
    </w:p>
    <w:p>
      <w:pPr>
        <w:ind w:firstLine="480" w:firstLineChars="200"/>
        <w:rPr>
          <w:rFonts w:ascii="Calibri" w:hAnsi="Calibri"/>
          <w:b/>
          <w:szCs w:val="22"/>
        </w:rPr>
      </w:pPr>
      <w:r>
        <w:rPr>
          <w:rFonts w:ascii="Calibri" w:hAnsi="Calibri" w:hint="eastAsia"/>
          <w:b/>
          <w:szCs w:val="22"/>
        </w:rPr>
        <w:t>（三）</w:t>
      </w:r>
      <w:r>
        <w:rPr>
          <w:rFonts w:ascii="Calibri" w:eastAsia="宋体" w:hAnsi="Calibri" w:hint="eastAsia"/>
          <w:b/>
          <w:szCs w:val="22"/>
          <w:lang w:eastAsia="zh-CN"/>
        </w:rPr>
        <w:t>其他</w:t>
      </w:r>
      <w:r>
        <w:rPr>
          <w:rFonts w:ascii="Calibri" w:hAnsi="Calibri" w:hint="eastAsia"/>
          <w:b/>
          <w:szCs w:val="22"/>
        </w:rPr>
        <w:t>现场演示规则：</w:t>
      </w:r>
    </w:p>
    <w:p>
      <w:pPr>
        <w:ind w:firstLine="480" w:firstLineChars="200"/>
        <w:rPr>
          <w:rFonts w:ascii="Calibri" w:hAnsi="Calibri"/>
          <w:szCs w:val="22"/>
        </w:rPr>
      </w:pPr>
      <w:r>
        <w:rPr>
          <w:rFonts w:ascii="Calibri" w:hAnsi="Calibri" w:hint="eastAsia"/>
          <w:szCs w:val="22"/>
        </w:rPr>
        <w:t>A</w:t>
      </w:r>
      <w:r>
        <w:rPr>
          <w:rFonts w:ascii="Calibri" w:hAnsi="Calibri"/>
          <w:szCs w:val="22"/>
        </w:rPr>
        <w:t>.</w:t>
      </w:r>
      <w:r>
        <w:rPr>
          <w:rFonts w:ascii="Calibri" w:hAnsi="Calibri" w:hint="eastAsia"/>
          <w:szCs w:val="22"/>
        </w:rPr>
        <w:t>参加本次现场演示的各投标（谈判）供应商，均认为本次现场演示的程序和环境能够满足现场演示基本条件，并对本现场演示方案要求内的各项规定不做事后异议，且能够严格遵守相关规定。</w:t>
      </w:r>
    </w:p>
    <w:p>
      <w:pPr>
        <w:ind w:firstLine="480" w:firstLineChars="200"/>
        <w:rPr>
          <w:rFonts w:ascii="Calibri" w:hAnsi="Calibri"/>
          <w:szCs w:val="22"/>
        </w:rPr>
      </w:pPr>
      <w:r>
        <w:rPr>
          <w:rFonts w:ascii="Calibri" w:hAnsi="Calibri" w:hint="eastAsia"/>
          <w:szCs w:val="22"/>
        </w:rPr>
        <w:t>B</w:t>
      </w:r>
      <w:r>
        <w:rPr>
          <w:rFonts w:ascii="Calibri" w:hAnsi="Calibri"/>
          <w:szCs w:val="22"/>
        </w:rPr>
        <w:t>.</w:t>
      </w:r>
      <w:r>
        <w:rPr>
          <w:rFonts w:ascii="Calibri" w:hAnsi="Calibri" w:hint="eastAsia"/>
          <w:szCs w:val="22"/>
        </w:rPr>
        <w:t>现场演示在评审中进行。现场演示原则上按签到顺序依次进行（经评委同意，可以酌情进行调整）。一个供应商一次性现场演示完毕。一个供应商在进行现场演示时，其他供应商不得进入现场。现场演示期间，评委可视情况对讲解人员进行提问。</w:t>
      </w:r>
    </w:p>
    <w:p>
      <w:pPr>
        <w:ind w:firstLine="480" w:firstLineChars="200"/>
        <w:rPr>
          <w:rFonts w:ascii="Calibri" w:hAnsi="Calibri"/>
          <w:szCs w:val="22"/>
        </w:rPr>
      </w:pPr>
      <w:r>
        <w:rPr>
          <w:rFonts w:ascii="Calibri" w:hAnsi="Calibri" w:hint="eastAsia"/>
          <w:szCs w:val="22"/>
        </w:rPr>
        <w:t>C</w:t>
      </w:r>
      <w:r>
        <w:rPr>
          <w:rFonts w:ascii="Calibri" w:hAnsi="Calibri"/>
          <w:szCs w:val="22"/>
        </w:rPr>
        <w:t>.</w:t>
      </w:r>
      <w:r>
        <w:rPr>
          <w:rFonts w:ascii="Calibri" w:hAnsi="Calibri" w:hint="eastAsia"/>
          <w:szCs w:val="22"/>
        </w:rPr>
        <w:t>投标人对本次现场演示条件的不确定性疑虑应在开始前做书面表达，若所有疑虑不能完全消除，并认为现场演示结果仍会产生误判，则可以退出现场演示。</w:t>
      </w:r>
    </w:p>
    <w:p>
      <w:pPr>
        <w:ind w:firstLine="480" w:firstLineChars="200"/>
        <w:rPr>
          <w:rFonts w:ascii="Calibri" w:hAnsi="Calibri"/>
          <w:szCs w:val="22"/>
        </w:rPr>
      </w:pPr>
      <w:r>
        <w:rPr>
          <w:rFonts w:ascii="Calibri" w:hAnsi="Calibri" w:hint="eastAsia"/>
          <w:szCs w:val="22"/>
        </w:rPr>
        <w:t>D</w:t>
      </w:r>
      <w:r>
        <w:rPr>
          <w:rFonts w:ascii="Calibri" w:hAnsi="Calibri"/>
          <w:szCs w:val="22"/>
        </w:rPr>
        <w:t>.</w:t>
      </w:r>
      <w:r>
        <w:rPr>
          <w:rFonts w:ascii="Calibri" w:hAnsi="Calibri" w:hint="eastAsia"/>
          <w:szCs w:val="22"/>
        </w:rPr>
        <w:t>由于现场演示时间有限，投标人同意承担其现场演示结果不确定性的风险，即同意专家以方案讲解情况的判定结论。</w:t>
      </w:r>
    </w:p>
    <w:p>
      <w:pPr>
        <w:ind w:firstLine="480" w:firstLineChars="200"/>
        <w:rPr>
          <w:rFonts w:ascii="Calibri" w:hAnsi="Calibri"/>
          <w:szCs w:val="22"/>
        </w:rPr>
      </w:pPr>
      <w:r>
        <w:rPr>
          <w:rFonts w:ascii="Calibri" w:hAnsi="Calibri" w:hint="eastAsia"/>
          <w:szCs w:val="22"/>
        </w:rPr>
        <w:t>E</w:t>
      </w:r>
      <w:r>
        <w:rPr>
          <w:rFonts w:ascii="Calibri" w:hAnsi="Calibri"/>
          <w:szCs w:val="22"/>
        </w:rPr>
        <w:t>.</w:t>
      </w:r>
      <w:r>
        <w:rPr>
          <w:rFonts w:ascii="Calibri" w:hAnsi="Calibri" w:hint="eastAsia"/>
          <w:szCs w:val="22"/>
        </w:rPr>
        <w:t>本次现场演示的结果，仅对本项目评审委员会（谈判小组）负责，无义务向其余各方出具方案讲解结果。</w:t>
      </w:r>
    </w:p>
    <w:p>
      <w:pPr>
        <w:ind w:firstLine="480" w:firstLineChars="200"/>
        <w:rPr>
          <w:rFonts w:ascii="Calibri" w:hAnsi="Calibri"/>
          <w:szCs w:val="22"/>
        </w:rPr>
      </w:pPr>
      <w:r>
        <w:rPr>
          <w:rFonts w:ascii="Calibri" w:hAnsi="Calibri" w:hint="eastAsia"/>
          <w:szCs w:val="22"/>
        </w:rPr>
        <w:t>F</w:t>
      </w:r>
      <w:r>
        <w:rPr>
          <w:rFonts w:ascii="Calibri" w:hAnsi="Calibri"/>
          <w:szCs w:val="22"/>
        </w:rPr>
        <w:t>.</w:t>
      </w:r>
      <w:r>
        <w:rPr>
          <w:rFonts w:ascii="Calibri" w:hAnsi="Calibri" w:hint="eastAsia"/>
          <w:szCs w:val="22"/>
        </w:rPr>
        <w:t>风险及费用说明：各项费用由供应商自理、风险自负。</w:t>
      </w:r>
    </w:p>
    <w:p>
      <w:pPr>
        <w:spacing w:line="276" w:lineRule="auto"/>
        <w:ind w:firstLine="480" w:firstLineChars="200"/>
        <w:jc w:val="left"/>
        <w:rPr>
          <w:rFonts w:ascii="宋体" w:hAnsi="宋体" w:cs="宋体"/>
          <w:color w:val="FF0000"/>
          <w:kern w:val="0"/>
          <w:szCs w:val="21"/>
          <w:highlight w:val="yellow"/>
        </w:rPr>
      </w:pP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83"/>
        <w:gridCol w:w="3386"/>
        <w:gridCol w:w="1129"/>
        <w:gridCol w:w="3524"/>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10"/>
          <w:jc w:val="center"/>
        </w:trPr>
        <w:tc>
          <w:tcPr>
            <w:tcW w:w="283" w:type="pct"/>
          </w:tcPr>
          <w:p>
            <w:pPr>
              <w:rPr>
                <w:rFonts w:eastAsia="宋体"/>
                <w:highlight w:val="none"/>
              </w:rPr>
            </w:pPr>
            <w:r>
              <w:rPr>
                <w:rFonts w:eastAsia="宋体" w:hint="eastAsia"/>
                <w:highlight w:val="none"/>
              </w:rPr>
              <w:t>序号</w:t>
            </w:r>
          </w:p>
        </w:tc>
        <w:tc>
          <w:tcPr>
            <w:tcW w:w="1986" w:type="pct"/>
          </w:tcPr>
          <w:p>
            <w:pPr>
              <w:rPr>
                <w:rFonts w:eastAsia="宋体"/>
                <w:highlight w:val="none"/>
              </w:rPr>
            </w:pPr>
            <w:r>
              <w:rPr>
                <w:rFonts w:eastAsia="宋体" w:hint="eastAsia"/>
                <w:highlight w:val="none"/>
              </w:rPr>
              <w:t>演示项</w:t>
            </w:r>
          </w:p>
        </w:tc>
        <w:tc>
          <w:tcPr>
            <w:tcW w:w="662" w:type="pct"/>
          </w:tcPr>
          <w:p>
            <w:pPr>
              <w:rPr>
                <w:rFonts w:eastAsia="宋体"/>
                <w:highlight w:val="none"/>
              </w:rPr>
            </w:pPr>
            <w:r>
              <w:rPr>
                <w:rFonts w:eastAsia="宋体" w:hint="eastAsia"/>
                <w:highlight w:val="none"/>
              </w:rPr>
              <w:t>演示形式要求</w:t>
            </w:r>
          </w:p>
        </w:tc>
        <w:tc>
          <w:tcPr>
            <w:tcW w:w="2067" w:type="pct"/>
          </w:tcPr>
          <w:p>
            <w:pPr>
              <w:rPr>
                <w:rFonts w:eastAsia="宋体"/>
                <w:highlight w:val="none"/>
              </w:rPr>
            </w:pPr>
            <w:r>
              <w:rPr>
                <w:rFonts w:eastAsia="宋体" w:hint="eastAsia"/>
                <w:highlight w:val="none"/>
              </w:rPr>
              <w:t>具体演示内容要求</w:t>
            </w:r>
          </w:p>
        </w:tc>
      </w:tr>
      <w:tr>
        <w:tblPrEx>
          <w:tblW w:w="5000" w:type="pct"/>
          <w:jc w:val="center"/>
          <w:tblCellMar>
            <w:top w:w="0" w:type="dxa"/>
            <w:left w:w="108" w:type="dxa"/>
            <w:bottom w:w="0" w:type="dxa"/>
            <w:right w:w="108" w:type="dxa"/>
          </w:tblCellMar>
        </w:tblPrEx>
        <w:trPr>
          <w:trHeight w:val="554"/>
          <w:jc w:val="center"/>
        </w:trPr>
        <w:tc>
          <w:tcPr>
            <w:tcW w:w="283" w:type="pct"/>
            <w:vAlign w:val="center"/>
          </w:tcPr>
          <w:p>
            <w:pPr>
              <w:rPr>
                <w:rFonts w:eastAsia="宋体"/>
                <w:highlight w:val="none"/>
              </w:rPr>
            </w:pPr>
            <w:r>
              <w:rPr>
                <w:rFonts w:eastAsia="宋体" w:hint="eastAsia"/>
                <w:highlight w:val="none"/>
              </w:rPr>
              <w:t>1</w:t>
            </w:r>
          </w:p>
        </w:tc>
        <w:tc>
          <w:tcPr>
            <w:tcW w:w="1986" w:type="pct"/>
            <w:vAlign w:val="center"/>
          </w:tcPr>
          <w:p>
            <w:pPr>
              <w:rPr>
                <w:highlight w:val="none"/>
              </w:rPr>
            </w:pPr>
            <w:r>
              <w:rPr>
                <w:rFonts w:eastAsia="宋体" w:hint="eastAsia"/>
                <w:highlight w:val="none"/>
              </w:rPr>
              <w:t>以物理实验操作考试任意实验题为考题，投标人自备相关设备及仪器，演示实验操作</w:t>
            </w:r>
            <w:r>
              <w:rPr>
                <w:highlight w:val="none"/>
              </w:rPr>
              <w:t>AI</w:t>
            </w:r>
            <w:r>
              <w:rPr>
                <w:rFonts w:eastAsia="宋体" w:hint="eastAsia"/>
                <w:highlight w:val="none"/>
              </w:rPr>
              <w:t>实时评分功能。</w:t>
            </w:r>
          </w:p>
          <w:p>
            <w:pPr>
              <w:rPr>
                <w:rFonts w:eastAsia="宋体"/>
                <w:highlight w:val="none"/>
              </w:rPr>
            </w:pPr>
          </w:p>
        </w:tc>
        <w:tc>
          <w:tcPr>
            <w:tcW w:w="662" w:type="pct"/>
            <w:vAlign w:val="center"/>
          </w:tcPr>
          <w:p>
            <w:pPr>
              <w:rPr>
                <w:rFonts w:eastAsia="宋体"/>
                <w:highlight w:val="none"/>
              </w:rPr>
            </w:pPr>
            <w:r>
              <w:rPr>
                <w:rFonts w:eastAsia="宋体" w:hint="eastAsia"/>
                <w:highlight w:val="none"/>
              </w:rPr>
              <w:t>投标人提供所投“智能实验终端”进行演示</w:t>
            </w:r>
          </w:p>
        </w:tc>
        <w:tc>
          <w:tcPr>
            <w:tcW w:w="2067" w:type="pct"/>
            <w:vAlign w:val="center"/>
          </w:tcPr>
          <w:p>
            <w:pPr>
              <w:rPr>
                <w:rFonts w:eastAsia="宋体"/>
                <w:highlight w:val="none"/>
              </w:rPr>
            </w:pPr>
            <w:r>
              <w:rPr>
                <w:rFonts w:eastAsia="宋体" w:hint="eastAsia"/>
                <w:highlight w:val="none"/>
              </w:rPr>
              <w:t>（</w:t>
            </w:r>
            <w:r>
              <w:rPr>
                <w:highlight w:val="none"/>
              </w:rPr>
              <w:t>1</w:t>
            </w:r>
            <w:r>
              <w:rPr>
                <w:rFonts w:ascii="宋体" w:eastAsia="宋体" w:hAnsi="宋体" w:cs="宋体" w:hint="eastAsia"/>
                <w:highlight w:val="none"/>
              </w:rPr>
              <w:t>）支持通过学生实验信息采集终端，进入</w:t>
            </w:r>
            <w:r>
              <w:rPr>
                <w:highlight w:val="none"/>
              </w:rPr>
              <w:t>AI</w:t>
            </w:r>
            <w:r>
              <w:rPr>
                <w:rFonts w:ascii="宋体" w:eastAsia="宋体" w:hAnsi="宋体" w:cs="宋体" w:hint="eastAsia"/>
                <w:highlight w:val="none"/>
              </w:rPr>
              <w:t>实验，终端</w:t>
            </w:r>
            <w:r>
              <w:rPr>
                <w:rFonts w:eastAsia="宋体" w:hint="eastAsia"/>
                <w:highlight w:val="none"/>
              </w:rPr>
              <w:t>设备能够显示主视摄像头、侧视摄像头实时视频画面以及</w:t>
            </w:r>
            <w:r>
              <w:rPr>
                <w:highlight w:val="none"/>
              </w:rPr>
              <w:t>AI</w:t>
            </w:r>
            <w:r>
              <w:rPr>
                <w:rFonts w:eastAsia="宋体" w:hint="eastAsia"/>
                <w:highlight w:val="none"/>
              </w:rPr>
              <w:t>实时视频画面，同屏显示该实验的操作评分点及操作得分情况。</w:t>
            </w:r>
          </w:p>
          <w:p>
            <w:pPr>
              <w:rPr>
                <w:rFonts w:eastAsia="宋体"/>
                <w:highlight w:val="none"/>
              </w:rPr>
            </w:pPr>
            <w:r>
              <w:rPr>
                <w:rFonts w:eastAsia="宋体" w:hint="eastAsia"/>
                <w:highlight w:val="none"/>
              </w:rPr>
              <w:t>（</w:t>
            </w:r>
            <w:r>
              <w:rPr>
                <w:rFonts w:eastAsia="宋体"/>
                <w:highlight w:val="none"/>
              </w:rPr>
              <w:t>2</w:t>
            </w:r>
            <w:r>
              <w:rPr>
                <w:rFonts w:eastAsia="宋体" w:hint="eastAsia"/>
                <w:highlight w:val="none"/>
              </w:rPr>
              <w:t>）</w:t>
            </w:r>
            <w:r>
              <w:rPr>
                <w:rFonts w:eastAsia="宋体"/>
                <w:highlight w:val="none"/>
              </w:rPr>
              <w:t>AI</w:t>
            </w:r>
            <w:r>
              <w:rPr>
                <w:rFonts w:eastAsia="宋体" w:hint="eastAsia"/>
                <w:highlight w:val="none"/>
              </w:rPr>
              <w:t>实时画面对实验器材和人手等进行识别，并通过不同颜色框和标签在视频中进行标记。</w:t>
            </w:r>
          </w:p>
          <w:p>
            <w:pPr>
              <w:rPr>
                <w:rFonts w:eastAsia="宋体"/>
                <w:highlight w:val="none"/>
              </w:rPr>
            </w:pPr>
            <w:r>
              <w:rPr>
                <w:rFonts w:eastAsia="宋体" w:hint="eastAsia"/>
                <w:highlight w:val="none"/>
              </w:rPr>
              <w:t>（</w:t>
            </w:r>
            <w:r>
              <w:rPr>
                <w:rFonts w:eastAsia="宋体"/>
                <w:highlight w:val="none"/>
              </w:rPr>
              <w:t>3</w:t>
            </w:r>
            <w:r>
              <w:rPr>
                <w:rFonts w:eastAsia="宋体" w:hint="eastAsia"/>
                <w:highlight w:val="none"/>
              </w:rPr>
              <w:t>）学生按照实验考题进行实验操作，并通过触摸屏填写答题卡，可以在实验过程中实现</w:t>
            </w:r>
            <w:r>
              <w:rPr>
                <w:rFonts w:eastAsia="宋体"/>
                <w:highlight w:val="none"/>
              </w:rPr>
              <w:t>AI</w:t>
            </w:r>
            <w:r>
              <w:rPr>
                <w:rFonts w:eastAsia="宋体" w:hint="eastAsia"/>
                <w:highlight w:val="none"/>
              </w:rPr>
              <w:t>实时判断，为每个评分点进行实时反馈。</w:t>
            </w:r>
          </w:p>
          <w:p>
            <w:pPr>
              <w:rPr>
                <w:rFonts w:eastAsia="宋体"/>
                <w:highlight w:val="none"/>
              </w:rPr>
            </w:pPr>
            <w:r>
              <w:rPr>
                <w:rFonts w:eastAsia="宋体" w:hint="eastAsia"/>
                <w:highlight w:val="none"/>
              </w:rPr>
              <w:t>（</w:t>
            </w:r>
            <w:r>
              <w:rPr>
                <w:rFonts w:eastAsia="宋体"/>
                <w:highlight w:val="none"/>
              </w:rPr>
              <w:t>4</w:t>
            </w:r>
            <w:r>
              <w:rPr>
                <w:rFonts w:eastAsia="宋体" w:hint="eastAsia"/>
                <w:highlight w:val="none"/>
              </w:rPr>
              <w:t>）实时反馈得分时，将学生的操作步骤关键帧截取，并支持放大展示，可清晰查看图片细节。</w:t>
            </w:r>
          </w:p>
          <w:p>
            <w:pPr>
              <w:rPr>
                <w:highlight w:val="none"/>
              </w:rPr>
            </w:pPr>
          </w:p>
          <w:p>
            <w:pPr>
              <w:rPr>
                <w:rFonts w:eastAsia="宋体"/>
                <w:highlight w:val="none"/>
              </w:rPr>
            </w:pPr>
          </w:p>
        </w:tc>
      </w:tr>
    </w:tbl>
    <w:p>
      <w:pPr>
        <w:pStyle w:val="Heading3"/>
        <w:jc w:val="center"/>
        <w:rPr>
          <w:sz w:val="32"/>
        </w:rPr>
      </w:pPr>
      <w:r>
        <w:rPr>
          <w:rFonts w:hint="eastAsia"/>
          <w:highlight w:val="yellow"/>
        </w:rPr>
        <w:br w:type="page"/>
      </w:r>
      <w:r>
        <w:rPr>
          <w:rFonts w:hint="eastAsia"/>
          <w:lang w:val="en-US" w:eastAsia="zh-CN"/>
        </w:rPr>
        <w:t>七</w:t>
      </w:r>
      <w:r>
        <w:rPr>
          <w:rFonts w:hint="eastAsia"/>
          <w:sz w:val="32"/>
        </w:rPr>
        <w:t>、其他重要条款</w:t>
      </w:r>
    </w:p>
    <w:p>
      <w:pPr>
        <w:spacing w:line="300" w:lineRule="auto"/>
        <w:ind w:firstLine="480" w:firstLineChars="200"/>
        <w:rPr>
          <w:bCs/>
          <w:szCs w:val="21"/>
        </w:rPr>
      </w:pPr>
      <w:r>
        <w:rPr>
          <w:rFonts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line="300" w:lineRule="auto"/>
        <w:ind w:firstLine="449" w:firstLineChars="187"/>
        <w:rPr>
          <w:rFonts w:ascii="宋体" w:hAnsi="宋体"/>
          <w:szCs w:val="21"/>
        </w:rPr>
      </w:pPr>
      <w:r>
        <w:rPr>
          <w:bCs/>
          <w:szCs w:val="21"/>
        </w:rPr>
        <w:t>2</w:t>
      </w:r>
      <w:r>
        <w:rPr>
          <w:rFonts w:hint="eastAsia"/>
          <w:bCs/>
          <w:szCs w:val="21"/>
        </w:rPr>
        <w:t>、投标人应充分了解项目的位置、情况、道路及</w:t>
      </w:r>
      <w:r>
        <w:rPr>
          <w:rFonts w:eastAsia="宋体" w:hint="eastAsia"/>
          <w:bCs/>
          <w:szCs w:val="21"/>
          <w:lang w:eastAsia="zh-CN"/>
        </w:rPr>
        <w:t>任何其他</w:t>
      </w:r>
      <w:r>
        <w:rPr>
          <w:rFonts w:hint="eastAsia"/>
          <w:bCs/>
          <w:szCs w:val="21"/>
        </w:rPr>
        <w:t>足以影响投标报价的情况，任何因忽视或误解项目情况而导致的索赔或服务期限延长申请将不获批准。</w:t>
      </w:r>
    </w:p>
    <w:p>
      <w:pPr>
        <w:spacing w:line="300" w:lineRule="auto"/>
        <w:ind w:firstLine="480" w:firstLineChars="200"/>
        <w:rPr>
          <w:bCs/>
          <w:szCs w:val="21"/>
        </w:rPr>
      </w:pPr>
      <w:r>
        <w:rPr>
          <w:bCs/>
          <w:szCs w:val="21"/>
        </w:rPr>
        <w:t>3</w:t>
      </w:r>
      <w:r>
        <w:rPr>
          <w:rFonts w:hint="eastAsia"/>
          <w:bCs/>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pPr>
        <w:spacing w:line="300" w:lineRule="auto"/>
        <w:ind w:firstLine="480" w:firstLineChars="200"/>
        <w:rPr>
          <w:bCs/>
          <w:szCs w:val="21"/>
        </w:rPr>
      </w:pPr>
      <w:r>
        <w:rPr>
          <w:bCs/>
          <w:szCs w:val="21"/>
        </w:rPr>
        <w:t>4</w:t>
      </w:r>
      <w:r>
        <w:rPr>
          <w:rFonts w:hint="eastAsia"/>
          <w:bCs/>
          <w:szCs w:val="21"/>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spacing w:line="300" w:lineRule="auto"/>
        <w:ind w:firstLine="480" w:firstLineChars="200"/>
        <w:rPr>
          <w:bCs/>
          <w:szCs w:val="21"/>
        </w:rPr>
      </w:pPr>
      <w:r>
        <w:rPr>
          <w:bCs/>
          <w:szCs w:val="21"/>
        </w:rPr>
        <w:t>5</w:t>
      </w:r>
      <w:r>
        <w:rPr>
          <w:rFonts w:hint="eastAsia"/>
          <w:bCs/>
          <w:szCs w:val="21"/>
        </w:rPr>
        <w:t>、除政府采购合同继续履行将损害国家利益和社会公共利益外，双方当事人不得擅自变更、中止或者终止合同。</w:t>
      </w:r>
    </w:p>
    <w:p>
      <w:pPr>
        <w:spacing w:line="300" w:lineRule="auto"/>
        <w:ind w:firstLine="480" w:firstLineChars="200"/>
        <w:rPr>
          <w:bCs/>
          <w:szCs w:val="21"/>
        </w:rPr>
      </w:pPr>
      <w:r>
        <w:rPr>
          <w:bCs/>
          <w:szCs w:val="21"/>
        </w:rPr>
        <w:t>6</w:t>
      </w:r>
      <w:r>
        <w:rPr>
          <w:rFonts w:hint="eastAsia"/>
          <w:bCs/>
          <w:szCs w:val="21"/>
        </w:rPr>
        <w:t>、“信用中国</w:t>
      </w:r>
      <w:r>
        <w:rPr>
          <w:rFonts w:eastAsia="宋体" w:hint="eastAsia"/>
          <w:bCs/>
          <w:szCs w:val="21"/>
          <w:lang w:eastAsia="zh-CN"/>
        </w:rPr>
        <w:t>”“</w:t>
      </w:r>
      <w:r>
        <w:rPr>
          <w:rFonts w:hint="eastAsia"/>
          <w:bCs/>
          <w:szCs w:val="21"/>
        </w:rPr>
        <w:t>中国政府采购网</w:t>
      </w:r>
      <w:r>
        <w:rPr>
          <w:rFonts w:eastAsia="宋体" w:hint="eastAsia"/>
          <w:bCs/>
          <w:szCs w:val="21"/>
          <w:lang w:eastAsia="zh-CN"/>
        </w:rPr>
        <w:t>”“</w:t>
      </w:r>
      <w:r>
        <w:rPr>
          <w:rFonts w:hint="eastAsia"/>
          <w:bCs/>
          <w:szCs w:val="21"/>
        </w:rPr>
        <w:t>深圳信用网”以及“深圳市政府采购监管网”为供应商信用信息的查询渠道，相关信息以开标当日的查询结果为准。</w:t>
      </w:r>
    </w:p>
    <w:p>
      <w:pPr>
        <w:pStyle w:val="Heading2"/>
        <w:numPr>
          <w:ilvl w:val="0"/>
          <w:numId w:val="1"/>
        </w:numPr>
        <w:rPr>
          <w:rFonts w:cs="宋体"/>
          <w:sz w:val="36"/>
          <w:szCs w:val="36"/>
        </w:rPr>
      </w:pPr>
      <w:r>
        <w:rPr>
          <w:rFonts w:hint="eastAsia"/>
          <w:szCs w:val="21"/>
        </w:rPr>
        <w:br w:type="page"/>
      </w:r>
      <w:bookmarkStart w:id="33" w:name="_Hlk86246764"/>
      <w:r>
        <w:rPr>
          <w:rFonts w:cs="宋体" w:hint="eastAsia"/>
          <w:sz w:val="36"/>
          <w:szCs w:val="36"/>
        </w:rPr>
        <w:t>投标文件组成要求及格式</w:t>
      </w:r>
    </w:p>
    <w:p>
      <w:pPr>
        <w:rPr>
          <w:rStyle w:val="3Char"/>
          <w:sz w:val="24"/>
        </w:rPr>
      </w:pPr>
      <w:r>
        <w:rPr>
          <w:rStyle w:val="3Char"/>
          <w:rFonts w:hint="eastAsia"/>
          <w:sz w:val="24"/>
        </w:rPr>
        <w:t>特别提醒：</w:t>
      </w:r>
    </w:p>
    <w:p>
      <w:pPr>
        <w:ind w:firstLine="480" w:firstLineChars="200"/>
        <w:rPr>
          <w:rFonts w:ascii="仿宋_GB2312" w:eastAsia="仿宋_GB2312"/>
        </w:rPr>
      </w:pPr>
      <w:r>
        <w:rPr>
          <w:rFonts w:ascii="仿宋_GB2312" w:eastAsia="仿宋_GB2312" w:hint="eastAsia"/>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仿宋_GB2312" w:eastAsia="仿宋_GB2312"/>
        </w:rPr>
      </w:pPr>
      <w:r>
        <w:rPr>
          <w:rFonts w:ascii="仿宋_GB2312" w:eastAsia="仿宋_GB2312" w:hint="eastAsia"/>
        </w:rPr>
        <w:t xml:space="preserve">    投标文件正文（信息公开部分）必须编制于“投标书目录”部分，投标文件附件（非信息公开部分）必须编制于“投标书附件”部分，如下图所示。</w:t>
      </w:r>
    </w:p>
    <w:p>
      <w:pPr>
        <w:rPr>
          <w:rFonts w:ascii="宋体" w:hAnsi="宋体" w:cs="宋体"/>
        </w:rPr>
      </w:pPr>
      <w:r>
        <w:rPr>
          <w:rFonts w:ascii="仿宋_GB2312" w:eastAsia="仿宋_GB2312"/>
        </w:rPr>
        <w:drawing>
          <wp:inline distT="0" distB="0" distL="114300" distR="114300">
            <wp:extent cx="5278755" cy="4126230"/>
            <wp:effectExtent l="0" t="0" r="17145" b="7620"/>
            <wp:docPr id="1" name="图片 1"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用户界面, 应用程序&#10;&#10;描述已自动生成"/>
                    <pic:cNvPicPr>
                      <a:picLocks noChangeAspect="1"/>
                    </pic:cNvPicPr>
                  </pic:nvPicPr>
                  <pic:blipFill>
                    <a:blip xmlns:r="http://schemas.openxmlformats.org/officeDocument/2006/relationships" r:embed="rId4"/>
                    <a:stretch>
                      <a:fillRect/>
                    </a:stretch>
                  </pic:blipFill>
                  <pic:spPr>
                    <a:xfrm>
                      <a:off x="0" y="0"/>
                      <a:ext cx="5278755" cy="4126230"/>
                    </a:xfrm>
                    <a:prstGeom prst="rect">
                      <a:avLst/>
                    </a:prstGeom>
                    <a:noFill/>
                    <a:ln>
                      <a:noFill/>
                    </a:ln>
                  </pic:spPr>
                </pic:pic>
              </a:graphicData>
            </a:graphic>
          </wp:inline>
        </w:drawing>
      </w:r>
    </w:p>
    <w:p>
      <w:pPr>
        <w:rPr>
          <w:rFonts w:ascii="仿宋_GB2312" w:eastAsia="仿宋_GB2312"/>
        </w:rPr>
      </w:pPr>
    </w:p>
    <w:p>
      <w:pPr>
        <w:jc w:val="center"/>
        <w:rPr>
          <w:rFonts w:ascii="仿宋_GB2312" w:eastAsia="仿宋_GB2312"/>
        </w:rPr>
      </w:pPr>
    </w:p>
    <w:p>
      <w:pPr>
        <w:ind w:firstLine="480" w:firstLineChars="200"/>
        <w:rPr>
          <w:rFonts w:ascii="仿宋_GB2312" w:eastAsia="仿宋_GB2312"/>
        </w:rPr>
      </w:pPr>
      <w:bookmarkStart w:id="34" w:name="_Hlk72257167"/>
      <w:r>
        <w:rPr>
          <w:rFonts w:ascii="仿宋_GB2312" w:eastAsia="仿宋_GB2312" w:hint="eastAsia"/>
        </w:rPr>
        <w:t>采购代理机构公布投标文件正文（信息公开部分）时为计算机截取信息自动公布，</w:t>
      </w:r>
      <w:r>
        <w:rPr>
          <w:rFonts w:ascii="仿宋_GB2312" w:eastAsia="仿宋_GB2312" w:hint="eastAsia"/>
          <w:b/>
          <w:bCs/>
        </w:rPr>
        <w:t>如投标人误将涉及个人隐私的信息放入投标文件正文，相关后果由投标人自负；</w:t>
      </w:r>
      <w:r>
        <w:rPr>
          <w:rFonts w:ascii="仿宋_GB2312" w:eastAsia="仿宋_GB2312" w:hint="eastAsia"/>
        </w:rPr>
        <w:t>如投标人将必须放于投标文件正文（信息公开部分）的内容放入投标文件附件（非信息公开部分），将作投标无效处理。</w:t>
      </w:r>
    </w:p>
    <w:p>
      <w:pPr>
        <w:spacing w:line="360" w:lineRule="auto"/>
        <w:jc w:val="center"/>
        <w:rPr>
          <w:b/>
          <w:bCs/>
          <w:sz w:val="32"/>
          <w:szCs w:val="32"/>
        </w:rPr>
      </w:pPr>
      <w:bookmarkEnd w:id="33"/>
      <w:bookmarkEnd w:id="34"/>
      <w:r>
        <w:rPr>
          <w:rFonts w:ascii="仿宋_GB2312" w:eastAsia="仿宋_GB2312"/>
        </w:rPr>
        <w:br w:type="page"/>
      </w:r>
      <w:r>
        <w:rPr>
          <w:rFonts w:hint="eastAsia"/>
          <w:b/>
          <w:bCs/>
          <w:sz w:val="32"/>
          <w:szCs w:val="32"/>
        </w:rPr>
        <w:t>投标文件组成：</w:t>
      </w:r>
    </w:p>
    <w:p>
      <w:pPr>
        <w:spacing w:line="360" w:lineRule="auto"/>
        <w:rPr>
          <w:sz w:val="28"/>
          <w:szCs w:val="28"/>
        </w:rPr>
      </w:pPr>
      <w:bookmarkStart w:id="35" w:name="_Hlk72257253"/>
      <w:r>
        <w:rPr>
          <w:rFonts w:hint="eastAsia"/>
          <w:sz w:val="28"/>
          <w:szCs w:val="28"/>
        </w:rPr>
        <w:t>1.投标文件正文</w:t>
      </w:r>
      <w:r>
        <w:rPr>
          <w:rFonts w:hint="eastAsia"/>
          <w:b/>
          <w:bCs/>
          <w:color w:val="FF0000"/>
          <w:sz w:val="28"/>
          <w:szCs w:val="28"/>
        </w:rPr>
        <w:t>（信息公开部分）</w:t>
      </w:r>
      <w:r>
        <w:rPr>
          <w:rFonts w:hint="eastAsia"/>
          <w:sz w:val="28"/>
          <w:szCs w:val="28"/>
        </w:rPr>
        <w:t>，主要包括以下内容：</w:t>
      </w:r>
    </w:p>
    <w:p>
      <w:pPr>
        <w:spacing w:line="360" w:lineRule="auto"/>
        <w:rPr>
          <w:sz w:val="28"/>
          <w:szCs w:val="28"/>
        </w:rPr>
      </w:pPr>
      <w:r>
        <w:rPr>
          <w:rFonts w:hint="eastAsia"/>
          <w:sz w:val="28"/>
          <w:szCs w:val="28"/>
        </w:rPr>
        <w:t>（1）</w:t>
      </w:r>
      <w:bookmarkStart w:id="36" w:name="_Hlk72070784"/>
      <w:r>
        <w:rPr>
          <w:rFonts w:hint="eastAsia"/>
          <w:sz w:val="28"/>
          <w:szCs w:val="28"/>
        </w:rPr>
        <w:t>投标函</w:t>
      </w:r>
      <w:bookmarkEnd w:id="36"/>
    </w:p>
    <w:p>
      <w:pPr>
        <w:spacing w:line="360" w:lineRule="auto"/>
        <w:rPr>
          <w:sz w:val="28"/>
          <w:szCs w:val="28"/>
        </w:rPr>
      </w:pPr>
      <w:r>
        <w:rPr>
          <w:rFonts w:hint="eastAsia"/>
          <w:sz w:val="28"/>
          <w:szCs w:val="28"/>
        </w:rPr>
        <w:t>（2）</w:t>
      </w:r>
      <w:bookmarkStart w:id="37" w:name="_Hlk72062521"/>
      <w:r>
        <w:rPr>
          <w:rFonts w:hint="eastAsia"/>
          <w:sz w:val="28"/>
          <w:szCs w:val="28"/>
        </w:rPr>
        <w:t>政府采购投标及履约承诺函</w:t>
      </w:r>
      <w:bookmarkEnd w:id="37"/>
    </w:p>
    <w:p>
      <w:pPr>
        <w:spacing w:line="360" w:lineRule="auto"/>
        <w:rPr>
          <w:sz w:val="28"/>
          <w:szCs w:val="28"/>
        </w:rPr>
      </w:pPr>
      <w:r>
        <w:rPr>
          <w:rFonts w:hint="eastAsia"/>
          <w:sz w:val="28"/>
          <w:szCs w:val="28"/>
        </w:rPr>
        <w:t>（</w:t>
      </w:r>
      <w:r>
        <w:rPr>
          <w:sz w:val="28"/>
          <w:szCs w:val="28"/>
        </w:rPr>
        <w:t>3</w:t>
      </w:r>
      <w:r>
        <w:rPr>
          <w:rFonts w:hint="eastAsia"/>
          <w:sz w:val="28"/>
          <w:szCs w:val="28"/>
        </w:rPr>
        <w:t>）投标人情况及资格证明文件</w:t>
      </w:r>
    </w:p>
    <w:p>
      <w:pPr>
        <w:spacing w:line="360" w:lineRule="auto"/>
        <w:rPr>
          <w:sz w:val="28"/>
          <w:szCs w:val="28"/>
        </w:rPr>
      </w:pPr>
      <w:r>
        <w:rPr>
          <w:rFonts w:hint="eastAsia"/>
          <w:sz w:val="28"/>
          <w:szCs w:val="28"/>
        </w:rPr>
        <w:t>（4）</w:t>
      </w:r>
      <w:r>
        <w:rPr>
          <w:rFonts w:eastAsia="宋体" w:hint="eastAsia"/>
          <w:sz w:val="28"/>
          <w:szCs w:val="28"/>
        </w:rPr>
        <w:t>分项报价清单</w:t>
      </w:r>
    </w:p>
    <w:p>
      <w:pPr>
        <w:spacing w:line="360" w:lineRule="auto"/>
        <w:rPr>
          <w:sz w:val="28"/>
          <w:szCs w:val="28"/>
        </w:rPr>
      </w:pPr>
      <w:r>
        <w:rPr>
          <w:rFonts w:hint="eastAsia"/>
          <w:sz w:val="28"/>
          <w:szCs w:val="28"/>
        </w:rPr>
        <w:t>（5）中小企业声明函、残疾人福利性单位声明函及监狱企业声明函</w:t>
      </w:r>
    </w:p>
    <w:p>
      <w:pPr>
        <w:spacing w:line="360" w:lineRule="auto"/>
        <w:rPr>
          <w:rFonts w:hint="eastAsia"/>
          <w:sz w:val="28"/>
          <w:szCs w:val="28"/>
        </w:rPr>
      </w:pPr>
      <w:r>
        <w:rPr>
          <w:rFonts w:hint="eastAsia"/>
          <w:sz w:val="28"/>
          <w:szCs w:val="28"/>
        </w:rPr>
        <w:t>（6）投标人自主知识产权产品（创新、设计）情况</w:t>
      </w:r>
    </w:p>
    <w:p>
      <w:pPr>
        <w:spacing w:line="360" w:lineRule="auto"/>
        <w:rPr>
          <w:rFonts w:hint="eastAsia"/>
          <w:sz w:val="28"/>
          <w:szCs w:val="28"/>
        </w:rPr>
      </w:pPr>
      <w:r>
        <w:rPr>
          <w:rFonts w:hint="eastAsia"/>
          <w:sz w:val="28"/>
          <w:szCs w:val="28"/>
        </w:rPr>
        <w:t>（7）投标人荣誉情况</w:t>
      </w:r>
    </w:p>
    <w:p>
      <w:pPr>
        <w:spacing w:line="360" w:lineRule="auto"/>
      </w:pPr>
      <w:r>
        <w:rPr>
          <w:rFonts w:hint="eastAsia"/>
          <w:sz w:val="28"/>
          <w:szCs w:val="28"/>
        </w:rPr>
        <w:t>（8）投标人认为需要加以说明的其他内容（公开）</w:t>
      </w:r>
    </w:p>
    <w:p>
      <w:pPr>
        <w:spacing w:line="360" w:lineRule="auto"/>
        <w:rPr>
          <w:sz w:val="28"/>
          <w:szCs w:val="28"/>
        </w:rPr>
      </w:pPr>
      <w:r>
        <w:rPr>
          <w:rFonts w:hint="eastAsia"/>
          <w:sz w:val="28"/>
          <w:szCs w:val="28"/>
        </w:rPr>
        <w:t>2.投标文件附件</w:t>
      </w:r>
      <w:r>
        <w:rPr>
          <w:rFonts w:hint="eastAsia"/>
          <w:b/>
          <w:bCs/>
          <w:color w:val="FF0000"/>
          <w:sz w:val="28"/>
          <w:szCs w:val="28"/>
        </w:rPr>
        <w:t>（信息不公开部分）</w:t>
      </w:r>
      <w:r>
        <w:rPr>
          <w:rFonts w:hint="eastAsia"/>
          <w:sz w:val="28"/>
          <w:szCs w:val="28"/>
        </w:rPr>
        <w:t>：主要包括以下内容：</w:t>
      </w:r>
    </w:p>
    <w:p>
      <w:pPr>
        <w:spacing w:line="360" w:lineRule="auto"/>
        <w:rPr>
          <w:sz w:val="28"/>
          <w:szCs w:val="28"/>
        </w:rPr>
      </w:pPr>
      <w:r>
        <w:rPr>
          <w:rFonts w:hint="eastAsia"/>
          <w:sz w:val="28"/>
          <w:szCs w:val="28"/>
        </w:rPr>
        <w:t>（1）法定代表人（负责人）证明书</w:t>
      </w:r>
    </w:p>
    <w:p>
      <w:pPr>
        <w:spacing w:line="360" w:lineRule="auto"/>
        <w:rPr>
          <w:sz w:val="28"/>
          <w:szCs w:val="28"/>
        </w:rPr>
      </w:pPr>
      <w:r>
        <w:rPr>
          <w:rFonts w:hint="eastAsia"/>
          <w:sz w:val="28"/>
          <w:szCs w:val="28"/>
        </w:rPr>
        <w:t>（2）投标文件签署授权委托书</w:t>
      </w:r>
    </w:p>
    <w:p>
      <w:pPr>
        <w:spacing w:line="360" w:lineRule="auto"/>
        <w:rPr>
          <w:sz w:val="28"/>
          <w:szCs w:val="28"/>
        </w:rPr>
      </w:pPr>
      <w:r>
        <w:rPr>
          <w:rFonts w:hint="eastAsia"/>
          <w:sz w:val="28"/>
          <w:szCs w:val="28"/>
        </w:rPr>
        <w:t>（3）政府采购违法行为风险知悉确认书</w:t>
      </w:r>
    </w:p>
    <w:p>
      <w:pPr>
        <w:spacing w:line="360" w:lineRule="auto"/>
        <w:rPr>
          <w:sz w:val="28"/>
          <w:szCs w:val="28"/>
        </w:rPr>
      </w:pPr>
      <w:bookmarkStart w:id="38" w:name="_Hlk72257201"/>
      <w:r>
        <w:rPr>
          <w:rFonts w:hint="eastAsia"/>
          <w:sz w:val="28"/>
          <w:szCs w:val="28"/>
        </w:rPr>
        <w:t>（4）实质性条款响应情况表</w:t>
      </w:r>
    </w:p>
    <w:p>
      <w:pPr>
        <w:spacing w:line="360" w:lineRule="auto"/>
        <w:rPr>
          <w:rFonts w:eastAsia="宋体" w:hint="eastAsia"/>
          <w:sz w:val="28"/>
          <w:szCs w:val="28"/>
          <w:lang w:eastAsia="zh-CN"/>
        </w:rPr>
      </w:pPr>
      <w:bookmarkEnd w:id="38"/>
      <w:r>
        <w:rPr>
          <w:rFonts w:hint="eastAsia"/>
          <w:sz w:val="28"/>
          <w:szCs w:val="28"/>
        </w:rPr>
        <w:t>（5）技术规格偏离情况</w:t>
      </w:r>
    </w:p>
    <w:p>
      <w:pPr>
        <w:spacing w:line="360" w:lineRule="auto"/>
        <w:rPr>
          <w:sz w:val="28"/>
          <w:szCs w:val="28"/>
        </w:rPr>
      </w:pPr>
      <w:r>
        <w:rPr>
          <w:rFonts w:hint="eastAsia"/>
          <w:sz w:val="28"/>
          <w:szCs w:val="28"/>
        </w:rPr>
        <w:t>（6）实施团队人员情况</w:t>
      </w:r>
    </w:p>
    <w:p>
      <w:pPr>
        <w:spacing w:line="360" w:lineRule="auto"/>
        <w:rPr>
          <w:rFonts w:hint="eastAsia"/>
          <w:sz w:val="28"/>
          <w:szCs w:val="28"/>
        </w:rPr>
      </w:pPr>
      <w:r>
        <w:rPr>
          <w:rFonts w:hint="eastAsia"/>
          <w:sz w:val="28"/>
          <w:szCs w:val="28"/>
        </w:rPr>
        <w:t>（7）质量及安全保障能力</w:t>
      </w:r>
    </w:p>
    <w:p>
      <w:pPr>
        <w:spacing w:line="360" w:lineRule="auto"/>
        <w:rPr>
          <w:rFonts w:hint="eastAsia"/>
          <w:sz w:val="28"/>
          <w:szCs w:val="28"/>
        </w:rPr>
      </w:pPr>
      <w:r>
        <w:rPr>
          <w:rFonts w:hint="eastAsia"/>
          <w:sz w:val="28"/>
          <w:szCs w:val="28"/>
        </w:rPr>
        <w:t>（8）现场演示情况</w:t>
      </w:r>
    </w:p>
    <w:p>
      <w:pPr>
        <w:spacing w:line="360" w:lineRule="auto"/>
        <w:rPr>
          <w:sz w:val="28"/>
          <w:szCs w:val="28"/>
        </w:rPr>
      </w:pPr>
      <w:r>
        <w:rPr>
          <w:rFonts w:hint="eastAsia"/>
          <w:sz w:val="28"/>
          <w:szCs w:val="28"/>
        </w:rPr>
        <w:t>（9）</w:t>
      </w:r>
      <w:r>
        <w:rPr>
          <w:rFonts w:hint="eastAsia"/>
          <w:sz w:val="28"/>
          <w:szCs w:val="28"/>
          <w:lang w:val="en-US" w:eastAsia="zh-CN"/>
        </w:rPr>
        <w:t>售后服务方案</w:t>
      </w:r>
    </w:p>
    <w:p>
      <w:pPr>
        <w:spacing w:line="360" w:lineRule="auto"/>
        <w:rPr>
          <w:sz w:val="28"/>
          <w:szCs w:val="28"/>
        </w:rPr>
      </w:pPr>
      <w:r>
        <w:rPr>
          <w:rFonts w:eastAsia="宋体" w:hint="eastAsia"/>
          <w:sz w:val="28"/>
          <w:szCs w:val="28"/>
          <w:lang w:eastAsia="zh-CN"/>
        </w:rPr>
        <w:t>（</w:t>
      </w:r>
      <w:r>
        <w:rPr>
          <w:rFonts w:eastAsia="宋体" w:hint="eastAsia"/>
          <w:sz w:val="28"/>
          <w:szCs w:val="28"/>
          <w:lang w:val="en-US" w:eastAsia="zh-CN"/>
        </w:rPr>
        <w:t>10</w:t>
      </w:r>
      <w:r>
        <w:rPr>
          <w:rFonts w:eastAsia="宋体" w:hint="eastAsia"/>
          <w:sz w:val="28"/>
          <w:szCs w:val="28"/>
          <w:lang w:eastAsia="zh-CN"/>
        </w:rPr>
        <w:t>）</w:t>
      </w:r>
      <w:r>
        <w:rPr>
          <w:rFonts w:hint="eastAsia"/>
          <w:sz w:val="28"/>
          <w:szCs w:val="28"/>
        </w:rPr>
        <w:t>投标人认为需要加以说明的其他内容（不公开）</w:t>
      </w:r>
    </w:p>
    <w:p>
      <w:pPr>
        <w:ind w:firstLine="485" w:firstLineChars="202"/>
        <w:rPr>
          <w:rFonts w:ascii="宋体" w:hAnsi="宋体"/>
          <w:b/>
          <w:szCs w:val="21"/>
        </w:rPr>
      </w:pPr>
      <w:bookmarkEnd w:id="35"/>
      <w:bookmarkStart w:id="39" w:name="_Hlk72257771"/>
      <w:r>
        <w:rPr>
          <w:rFonts w:ascii="宋体" w:hAnsi="宋体" w:hint="eastAsia"/>
          <w:b/>
          <w:szCs w:val="21"/>
        </w:rPr>
        <w:t>备注：</w:t>
      </w:r>
    </w:p>
    <w:p>
      <w:pPr>
        <w:ind w:firstLine="485" w:firstLineChars="202"/>
        <w:rPr>
          <w:rFonts w:ascii="宋体" w:hAnsi="宋体"/>
          <w:b/>
          <w:szCs w:val="21"/>
        </w:rPr>
      </w:pPr>
      <w:r>
        <w:rPr>
          <w:rFonts w:ascii="宋体" w:hAnsi="宋体" w:hint="eastAsia"/>
          <w:b/>
          <w:szCs w:val="21"/>
        </w:rPr>
        <w:t>1.本项目为网上电子投标项目，投标文件不需法人或授权委托人另行签字，无需加盖单位公章，招标文件专用条款另有规定的除外。</w:t>
      </w:r>
    </w:p>
    <w:p>
      <w:pPr>
        <w:ind w:firstLine="480" w:firstLineChars="200"/>
        <w:rPr>
          <w:rFonts w:ascii="宋体" w:hAnsi="宋体"/>
          <w:color w:val="FF0000"/>
        </w:rPr>
      </w:pPr>
      <w:bookmarkStart w:id="40" w:name="_Hlk72263559"/>
      <w:r>
        <w:rPr>
          <w:rFonts w:ascii="宋体" w:hAnsi="宋体" w:hint="eastAsia"/>
          <w:b/>
          <w:szCs w:val="21"/>
        </w:rPr>
        <w:t>2.关于填写“开标一览表”的说明：“开标一览表”中除“投标总价”外，其他信息不作评审依据。</w:t>
      </w:r>
      <w:bookmarkEnd w:id="39"/>
      <w:bookmarkEnd w:id="40"/>
    </w:p>
    <w:p>
      <w:pPr>
        <w:rPr>
          <w:rFonts w:ascii="宋体" w:hAnsi="宋体"/>
          <w:color w:val="FF0000"/>
        </w:rPr>
      </w:pPr>
    </w:p>
    <w:p/>
    <w:p/>
    <w:p>
      <w:pPr>
        <w:outlineLvl w:val="2"/>
        <w:rPr>
          <w:rFonts w:ascii="宋体" w:hAnsi="宋体"/>
          <w:b/>
          <w:color w:val="FF0000"/>
          <w:sz w:val="28"/>
          <w:szCs w:val="28"/>
        </w:rPr>
      </w:pPr>
      <w:r>
        <w:rPr>
          <w:rFonts w:ascii="宋体" w:hAnsi="宋体" w:hint="eastAsia"/>
          <w:b/>
          <w:color w:val="FF0000"/>
          <w:sz w:val="28"/>
          <w:szCs w:val="28"/>
        </w:rPr>
        <w:t>投标文件正文（信息公开部分）</w:t>
      </w:r>
    </w:p>
    <w:p>
      <w:pPr>
        <w:pStyle w:val="Heading4"/>
        <w:jc w:val="center"/>
        <w:rPr>
          <w:rFonts w:ascii="黑体"/>
          <w:b w:val="0"/>
          <w:sz w:val="24"/>
        </w:rPr>
      </w:pPr>
      <w:r>
        <w:rPr>
          <w:rFonts w:ascii="黑体" w:hint="eastAsia"/>
          <w:b w:val="0"/>
          <w:sz w:val="24"/>
        </w:rPr>
        <w:t>一、投标函</w:t>
      </w:r>
    </w:p>
    <w:p>
      <w:pPr>
        <w:spacing w:line="360" w:lineRule="auto"/>
        <w:rPr>
          <w:rFonts w:ascii="宋体" w:hAnsi="宋体"/>
          <w:szCs w:val="21"/>
        </w:rPr>
      </w:pPr>
      <w:bookmarkStart w:id="41" w:name="_Hlk72257506"/>
      <w:r>
        <w:rPr>
          <w:rFonts w:ascii="宋体" w:hAnsi="宋体" w:hint="eastAsia"/>
          <w:szCs w:val="21"/>
        </w:rPr>
        <w:t>致：</w:t>
      </w:r>
      <w:r>
        <w:rPr>
          <w:rFonts w:ascii="宋体" w:hAnsi="宋体" w:hint="eastAsia"/>
          <w:color w:val="FF0000"/>
          <w:szCs w:val="21"/>
          <w:u w:val="single"/>
        </w:rPr>
        <w:t>正采（深圳）招标代理有限公司</w:t>
      </w:r>
    </w:p>
    <w:p>
      <w:pPr>
        <w:ind w:firstLine="480" w:firstLineChars="200"/>
        <w:rPr>
          <w:rFonts w:ascii="宋体" w:hAnsi="宋体"/>
          <w:szCs w:val="21"/>
        </w:rPr>
      </w:pPr>
      <w:bookmarkStart w:id="42" w:name="_Hlk73818812"/>
      <w:r>
        <w:rPr>
          <w:rFonts w:hint="eastAsia"/>
          <w:szCs w:val="21"/>
        </w:rPr>
        <w:t>1、根据已收到贵单位的项目编号为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的</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项目的招标文件，遵照《深圳经济特区政府采购条例》和《深圳网上政府采购管理暂行办法》等有关规定，我单位经研究上述招标文件的专用条款及通用条款后，</w:t>
      </w:r>
      <w:bookmarkStart w:id="43" w:name="_Hlk72263588"/>
      <w:r>
        <w:rPr>
          <w:rFonts w:hint="eastAsia"/>
          <w:szCs w:val="21"/>
        </w:rPr>
        <w:t>愿意按照招标文件要求承包上述项目并修补其任何缺陷。</w:t>
      </w:r>
      <w:bookmarkEnd w:id="43"/>
    </w:p>
    <w:p>
      <w:pPr>
        <w:ind w:firstLine="480" w:firstLineChars="200"/>
        <w:rPr>
          <w:rFonts w:ascii="宋体" w:hAnsi="宋体"/>
          <w:szCs w:val="21"/>
        </w:rPr>
      </w:pPr>
      <w:r>
        <w:rPr>
          <w:rFonts w:ascii="宋体" w:hAnsi="宋体"/>
          <w:szCs w:val="21"/>
        </w:rPr>
        <w:t>2</w:t>
      </w:r>
      <w:r>
        <w:rPr>
          <w:rFonts w:ascii="宋体" w:hAnsi="宋体" w:hint="eastAsia"/>
          <w:szCs w:val="21"/>
        </w:rPr>
        <w:t>、</w:t>
      </w:r>
      <w:bookmarkStart w:id="44" w:name="_Hlk73819847"/>
      <w:r>
        <w:rPr>
          <w:rFonts w:ascii="宋体" w:hAnsi="宋体" w:hint="eastAsia"/>
          <w:szCs w:val="21"/>
        </w:rPr>
        <w:t>投标价格见</w:t>
      </w:r>
      <w:r>
        <w:rPr>
          <w:rFonts w:hint="eastAsia"/>
          <w:szCs w:val="21"/>
        </w:rPr>
        <w:t>投标书编制软件中《开标一览表》中填写的投标总价。</w:t>
      </w:r>
      <w:bookmarkEnd w:id="44"/>
    </w:p>
    <w:p>
      <w:pPr>
        <w:ind w:firstLine="480" w:firstLineChars="200"/>
        <w:rPr>
          <w:rFonts w:ascii="宋体" w:hAnsi="宋体"/>
          <w:szCs w:val="21"/>
        </w:rPr>
      </w:pPr>
      <w:r>
        <w:rPr>
          <w:rFonts w:ascii="宋体" w:hAnsi="宋体" w:hint="eastAsia"/>
          <w:szCs w:val="21"/>
        </w:rPr>
        <w:t>3、如果我单位中标，我单位将按照招标文件的要求足额提交履约担保。</w:t>
      </w:r>
    </w:p>
    <w:p>
      <w:pPr>
        <w:ind w:firstLine="480" w:firstLineChars="200"/>
        <w:rPr>
          <w:rFonts w:ascii="宋体" w:hAnsi="宋体"/>
          <w:szCs w:val="21"/>
        </w:rPr>
      </w:pPr>
      <w:r>
        <w:rPr>
          <w:rFonts w:ascii="宋体" w:hAnsi="宋体" w:hint="eastAsia"/>
          <w:szCs w:val="21"/>
        </w:rPr>
        <w:t>4、我单位同意所递交的投标文件在“对通用条款的补充内容”中明确的投标有效期内有效，在此期间内我单位的投标有可能中标，我方将受此约束。</w:t>
      </w:r>
    </w:p>
    <w:p>
      <w:pPr>
        <w:ind w:firstLine="480" w:firstLineChars="200"/>
        <w:rPr>
          <w:rFonts w:ascii="宋体" w:hAnsi="宋体"/>
          <w:szCs w:val="21"/>
        </w:rPr>
      </w:pPr>
      <w:r>
        <w:rPr>
          <w:rFonts w:ascii="宋体" w:hAnsi="宋体" w:hint="eastAsia"/>
          <w:szCs w:val="21"/>
        </w:rPr>
        <w:t>5、除非另外达成协议并生效，贵单位的中标通知书和本投标文件将构成合同的重要内容。</w:t>
      </w:r>
    </w:p>
    <w:p>
      <w:pPr>
        <w:ind w:firstLine="480" w:firstLineChars="200"/>
        <w:rPr>
          <w:rFonts w:ascii="宋体" w:hAnsi="宋体"/>
          <w:szCs w:val="21"/>
        </w:rPr>
      </w:pPr>
      <w:r>
        <w:rPr>
          <w:rFonts w:ascii="宋体" w:hAnsi="宋体" w:hint="eastAsia"/>
          <w:szCs w:val="21"/>
        </w:rPr>
        <w:t>6、我单位理解贵单位将不受必须接受所收到的最低报价</w:t>
      </w:r>
      <w:r>
        <w:rPr>
          <w:rFonts w:ascii="宋体" w:eastAsia="宋体" w:hAnsi="宋体" w:hint="eastAsia"/>
          <w:szCs w:val="21"/>
          <w:lang w:eastAsia="zh-CN"/>
        </w:rPr>
        <w:t>或其他</w:t>
      </w:r>
      <w:r>
        <w:rPr>
          <w:rFonts w:ascii="宋体" w:hAnsi="宋体" w:hint="eastAsia"/>
          <w:szCs w:val="21"/>
        </w:rPr>
        <w:t>任何投标文件的约束。</w:t>
      </w:r>
      <w:bookmarkEnd w:id="42"/>
    </w:p>
    <w:p>
      <w:pPr>
        <w:ind w:left="617" w:leftChars="257"/>
        <w:rPr>
          <w:szCs w:val="21"/>
        </w:rPr>
      </w:pPr>
      <w:r>
        <w:rPr>
          <w:rFonts w:hint="eastAsia"/>
          <w:szCs w:val="21"/>
        </w:rPr>
        <w:t>投标人：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单位地址：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 xml:space="preserve">  </w:t>
      </w:r>
    </w:p>
    <w:p>
      <w:pPr>
        <w:ind w:left="617" w:leftChars="257"/>
        <w:rPr>
          <w:szCs w:val="21"/>
          <w:u w:val="single"/>
        </w:rPr>
      </w:pPr>
      <w:r>
        <w:rPr>
          <w:rFonts w:hint="eastAsia"/>
          <w:szCs w:val="21"/>
        </w:rPr>
        <w:t>法定代表人（负责人）或其委托代理人：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left="617" w:leftChars="257"/>
        <w:rPr>
          <w:szCs w:val="21"/>
          <w:u w:val="single"/>
        </w:rPr>
      </w:pPr>
      <w:r>
        <w:rPr>
          <w:rFonts w:hint="eastAsia"/>
          <w:szCs w:val="21"/>
        </w:rPr>
        <w:t>邮政编码：</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left="617" w:leftChars="257"/>
        <w:rPr>
          <w:szCs w:val="21"/>
          <w:u w:val="single"/>
        </w:rPr>
      </w:pPr>
      <w:r>
        <w:rPr>
          <w:rFonts w:hint="eastAsia"/>
          <w:szCs w:val="21"/>
        </w:rPr>
        <w:t>传真：</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邮箱：</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left="617" w:leftChars="257"/>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开户银行账号：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left="617" w:leftChars="257"/>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firstLine="617" w:firstLineChars="257"/>
      </w:pPr>
      <w:r>
        <w:rPr>
          <w:rFonts w:ascii="宋体" w:hAnsi="宋体" w:hint="eastAsia"/>
          <w:szCs w:val="21"/>
        </w:rPr>
        <w:t>日期：</w:t>
      </w:r>
      <w:r>
        <w:rPr>
          <w:rFonts w:hint="eastAsia"/>
          <w:szCs w:val="21"/>
          <w:u w:val="single"/>
        </w:rPr>
        <w:tab/>
      </w:r>
      <w:r>
        <w:rPr>
          <w:rFonts w:hint="eastAsia"/>
          <w:szCs w:val="21"/>
          <w:u w:val="single"/>
        </w:rPr>
        <w:tab/>
      </w:r>
      <w:r>
        <w:rPr>
          <w:rFonts w:ascii="宋体" w:hAnsi="宋体" w:hint="eastAsia"/>
          <w:szCs w:val="21"/>
        </w:rPr>
        <w:t>年</w:t>
      </w:r>
      <w:r>
        <w:rPr>
          <w:rFonts w:hint="eastAsia"/>
          <w:szCs w:val="21"/>
          <w:u w:val="single"/>
        </w:rPr>
        <w:tab/>
      </w:r>
      <w:r>
        <w:rPr>
          <w:rFonts w:hint="eastAsia"/>
          <w:szCs w:val="21"/>
          <w:u w:val="single"/>
        </w:rPr>
        <w:tab/>
      </w:r>
      <w:r>
        <w:rPr>
          <w:rFonts w:ascii="宋体" w:hAnsi="宋体" w:hint="eastAsia"/>
          <w:szCs w:val="21"/>
        </w:rPr>
        <w:t>月</w:t>
      </w:r>
      <w:r>
        <w:rPr>
          <w:rFonts w:hint="eastAsia"/>
          <w:szCs w:val="21"/>
          <w:u w:val="single"/>
        </w:rPr>
        <w:tab/>
      </w:r>
      <w:r>
        <w:rPr>
          <w:rFonts w:hint="eastAsia"/>
          <w:szCs w:val="21"/>
          <w:u w:val="single"/>
        </w:rPr>
        <w:tab/>
      </w:r>
      <w:r>
        <w:rPr>
          <w:rFonts w:ascii="宋体" w:hAnsi="宋体" w:hint="eastAsia"/>
          <w:szCs w:val="21"/>
        </w:rPr>
        <w:t>日</w:t>
      </w:r>
    </w:p>
    <w:p>
      <w:pPr>
        <w:rPr>
          <w:rFonts w:ascii="黑体" w:eastAsia="黑体" w:hAnsi="宋体"/>
        </w:rPr>
      </w:pPr>
    </w:p>
    <w:p>
      <w:pPr>
        <w:pStyle w:val="Heading4"/>
        <w:jc w:val="center"/>
        <w:rPr>
          <w:rFonts w:ascii="黑体"/>
          <w:b w:val="0"/>
          <w:sz w:val="24"/>
        </w:rPr>
      </w:pPr>
      <w:bookmarkEnd w:id="41"/>
      <w:r>
        <w:rPr>
          <w:rFonts w:ascii="黑体" w:hint="eastAsia"/>
          <w:b w:val="0"/>
          <w:sz w:val="24"/>
        </w:rPr>
        <w:t>二、政府采购投标及履约承诺函</w:t>
      </w:r>
    </w:p>
    <w:p>
      <w:pPr>
        <w:rPr>
          <w:rFonts w:ascii="宋体" w:hAnsi="宋体"/>
          <w:color w:val="FF0000"/>
          <w:szCs w:val="21"/>
        </w:rPr>
      </w:pPr>
      <w:bookmarkStart w:id="45" w:name="_Hlk72257530"/>
      <w:r>
        <w:rPr>
          <w:rFonts w:ascii="宋体" w:hAnsi="宋体" w:hint="eastAsia"/>
          <w:color w:val="FF0000"/>
          <w:szCs w:val="21"/>
        </w:rPr>
        <w:t>致：</w:t>
      </w:r>
      <w:r>
        <w:rPr>
          <w:rFonts w:ascii="宋体" w:hAnsi="宋体" w:hint="eastAsia"/>
          <w:color w:val="FF0000"/>
          <w:szCs w:val="21"/>
          <w:u w:val="single"/>
        </w:rPr>
        <w:t>正采（深圳）招标代理有限公司</w:t>
      </w:r>
    </w:p>
    <w:p>
      <w:pPr>
        <w:ind w:right="-815" w:firstLine="480" w:firstLineChars="200"/>
        <w:rPr>
          <w:rFonts w:ascii="宋体" w:hAnsi="宋体"/>
          <w:szCs w:val="21"/>
        </w:rPr>
      </w:pPr>
      <w:r>
        <w:rPr>
          <w:rFonts w:ascii="宋体" w:hAnsi="宋体" w:hint="eastAsia"/>
          <w:szCs w:val="21"/>
        </w:rPr>
        <w:t>我单位承诺：</w:t>
      </w:r>
    </w:p>
    <w:p>
      <w:pPr>
        <w:ind w:firstLine="480" w:firstLineChars="200"/>
        <w:rPr>
          <w:rFonts w:ascii="宋体" w:hAnsi="宋体"/>
          <w:szCs w:val="21"/>
        </w:rPr>
      </w:pPr>
      <w:r>
        <w:rPr>
          <w:rFonts w:ascii="宋体" w:hAnsi="宋体" w:hint="eastAsia"/>
          <w:szCs w:val="21"/>
        </w:rPr>
        <w:t>1.我单位参与本项目所投标（响应）的货物、工程或服务，不存在侵犯知识产权的情况；已知悉并同意中标（成交）结果信息公示（公开）的内容。</w:t>
      </w:r>
    </w:p>
    <w:p>
      <w:pPr>
        <w:ind w:firstLine="480" w:firstLineChars="200"/>
        <w:rPr>
          <w:rFonts w:ascii="宋体" w:hAnsi="宋体"/>
          <w:szCs w:val="21"/>
        </w:rPr>
      </w:pPr>
      <w:r>
        <w:rPr>
          <w:rFonts w:ascii="宋体" w:hAnsi="宋体" w:hint="eastAsia"/>
          <w:szCs w:val="21"/>
        </w:rPr>
        <w:t>2.我单位参与本项目投标前三年内，在经营活动中没有重大违法记录。</w:t>
      </w:r>
    </w:p>
    <w:p>
      <w:pPr>
        <w:ind w:firstLine="480" w:firstLineChars="200"/>
        <w:rPr>
          <w:rFonts w:ascii="宋体" w:hAnsi="宋体"/>
          <w:szCs w:val="21"/>
        </w:rPr>
      </w:pPr>
      <w:r>
        <w:rPr>
          <w:rFonts w:ascii="宋体" w:hAnsi="宋体" w:hint="eastAsia"/>
          <w:szCs w:val="21"/>
        </w:rPr>
        <w:t>3.我单位参与本项目</w:t>
      </w:r>
      <w:r>
        <w:rPr>
          <w:rFonts w:hint="eastAsia"/>
        </w:rPr>
        <w:t>政府采购活动时不存在被有关部门禁止参与政府采购活动且在有效期内的情况。</w:t>
      </w:r>
    </w:p>
    <w:p>
      <w:pPr>
        <w:ind w:firstLine="480" w:firstLineChars="200"/>
        <w:rPr>
          <w:rFonts w:ascii="宋体" w:hAnsi="宋体"/>
          <w:szCs w:val="21"/>
        </w:rPr>
      </w:pPr>
      <w:r>
        <w:rPr>
          <w:rFonts w:ascii="宋体" w:hAnsi="宋体" w:hint="eastAsia"/>
          <w:szCs w:val="21"/>
        </w:rPr>
        <w:t>4.我单位具备《中华人民共和国政府采购法》第二十二条第一款规定的六项条件。</w:t>
      </w:r>
    </w:p>
    <w:p>
      <w:pPr>
        <w:ind w:firstLine="480" w:firstLineChars="200"/>
        <w:rPr>
          <w:rFonts w:ascii="宋体" w:hAnsi="宋体"/>
          <w:szCs w:val="21"/>
        </w:rPr>
      </w:pPr>
      <w:r>
        <w:rPr>
          <w:rFonts w:ascii="宋体" w:hAnsi="宋体" w:hint="eastAsia"/>
          <w:szCs w:val="21"/>
        </w:rPr>
        <w:t>5.我单位</w:t>
      </w:r>
      <w:r>
        <w:rPr>
          <w:rFonts w:hint="eastAsia"/>
        </w:rPr>
        <w:t>未被列入失信被执行人、重大税收违法案件当事人名单、政府采购严重违法失信行为记录名单。</w:t>
      </w:r>
    </w:p>
    <w:p>
      <w:pPr>
        <w:ind w:firstLine="480" w:firstLineChars="200"/>
        <w:rPr>
          <w:rFonts w:ascii="宋体" w:hAnsi="宋体"/>
          <w:szCs w:val="21"/>
        </w:rPr>
      </w:pPr>
      <w:r>
        <w:rPr>
          <w:rFonts w:ascii="宋体" w:hAnsi="宋体" w:hint="eastAsia"/>
          <w:szCs w:val="21"/>
        </w:rPr>
        <w:t>6.</w:t>
      </w:r>
      <w:bookmarkStart w:id="46" w:name="_Hlk72587269"/>
      <w:bookmarkStart w:id="47" w:name="_Hlk72587299"/>
      <w:r>
        <w:rPr>
          <w:rFonts w:ascii="宋体" w:hAnsi="宋体" w:hint="eastAsia"/>
          <w:szCs w:val="21"/>
        </w:rPr>
        <w:t>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bookmarkEnd w:id="46"/>
      <w:r>
        <w:rPr>
          <w:rFonts w:ascii="宋体" w:hAnsi="宋体" w:hint="eastAsia"/>
          <w:szCs w:val="21"/>
        </w:rPr>
        <w:t>。</w:t>
      </w:r>
    </w:p>
    <w:p>
      <w:pPr>
        <w:ind w:firstLine="480" w:firstLineChars="200"/>
        <w:rPr>
          <w:rFonts w:ascii="宋体" w:hAnsi="宋体"/>
          <w:szCs w:val="21"/>
        </w:rPr>
      </w:pPr>
      <w:bookmarkEnd w:id="47"/>
      <w:r>
        <w:rPr>
          <w:rFonts w:ascii="宋体" w:hAnsi="宋体" w:hint="eastAsia"/>
          <w:szCs w:val="21"/>
        </w:rPr>
        <w:t>7.我单位如果中标，做到守信，不偷工减料，依照本项目招标文件需求内容、签署的采购合同及本单位在投标中</w:t>
      </w:r>
      <w:r>
        <w:rPr>
          <w:rFonts w:ascii="宋体" w:eastAsia="宋体" w:hAnsi="宋体" w:hint="eastAsia"/>
          <w:szCs w:val="21"/>
          <w:lang w:eastAsia="zh-CN"/>
        </w:rPr>
        <w:t>所做的</w:t>
      </w:r>
      <w:r>
        <w:rPr>
          <w:rFonts w:ascii="宋体" w:hAnsi="宋体" w:hint="eastAsia"/>
          <w:szCs w:val="21"/>
        </w:rPr>
        <w:t>一切承诺履约。我单位对本项目的报价负责，中标后将严格按照本项目招标文件需求、签署的采购合同及我单位在投标中所作的全部承诺履行。</w:t>
      </w:r>
    </w:p>
    <w:p>
      <w:pPr>
        <w:ind w:firstLine="480" w:firstLineChars="200"/>
        <w:rPr>
          <w:rFonts w:ascii="宋体" w:hAnsi="宋体"/>
          <w:szCs w:val="21"/>
        </w:rPr>
      </w:pPr>
      <w:r>
        <w:rPr>
          <w:rFonts w:ascii="宋体" w:hAnsi="宋体" w:hint="eastAsia"/>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hAnsi="宋体"/>
          <w:szCs w:val="21"/>
        </w:rPr>
      </w:pPr>
      <w:r>
        <w:rPr>
          <w:rFonts w:ascii="宋体" w:hAnsi="宋体"/>
          <w:szCs w:val="21"/>
        </w:rPr>
        <w:t>8</w:t>
      </w:r>
      <w:r>
        <w:rPr>
          <w:rFonts w:ascii="宋体" w:hAnsi="宋体" w:hint="eastAsia"/>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hAnsi="宋体"/>
          <w:szCs w:val="21"/>
        </w:rPr>
      </w:pPr>
      <w:r>
        <w:rPr>
          <w:rFonts w:ascii="宋体" w:hAnsi="宋体"/>
          <w:szCs w:val="21"/>
        </w:rPr>
        <w:t>9</w:t>
      </w:r>
      <w:r>
        <w:rPr>
          <w:rFonts w:ascii="宋体" w:hAnsi="宋体" w:hint="eastAsia"/>
          <w:szCs w:val="21"/>
        </w:rPr>
        <w:t>.我单位承诺中标后项目不转包，未经采购人同意不进行分包。</w:t>
      </w:r>
    </w:p>
    <w:p>
      <w:pPr>
        <w:ind w:firstLine="480" w:firstLineChars="200"/>
        <w:rPr>
          <w:rFonts w:ascii="宋体" w:hAnsi="宋体"/>
        </w:rPr>
      </w:pPr>
      <w:r>
        <w:rPr>
          <w:rFonts w:ascii="宋体" w:hAnsi="宋体" w:hint="eastAsia"/>
          <w:szCs w:val="21"/>
        </w:rPr>
        <w:t>1</w:t>
      </w:r>
      <w:r>
        <w:rPr>
          <w:rFonts w:ascii="宋体" w:hAnsi="宋体"/>
          <w:szCs w:val="21"/>
        </w:rPr>
        <w:t>0.</w:t>
      </w:r>
      <w:r>
        <w:rPr>
          <w:rFonts w:ascii="宋体" w:hAnsi="宋体" w:hint="eastAsia"/>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hAnsi="宋体"/>
        </w:rPr>
      </w:pPr>
      <w:r>
        <w:rPr>
          <w:rFonts w:ascii="宋体" w:hAnsi="宋体"/>
        </w:rPr>
        <w:t>11.</w:t>
      </w:r>
      <w:r>
        <w:rPr>
          <w:rFonts w:ascii="宋体" w:hAnsi="宋体" w:hint="eastAsia"/>
        </w:rPr>
        <w:t>我单位保证，若所投货物涉及</w:t>
      </w:r>
      <w:r>
        <w:rPr>
          <w:rFonts w:ascii="宋体" w:hAnsi="宋体"/>
        </w:rPr>
        <w:t>《</w:t>
      </w:r>
      <w:r>
        <w:rPr>
          <w:rFonts w:ascii="宋体" w:hAnsi="宋体" w:hint="eastAsia"/>
        </w:rPr>
        <w:t>财政部生态环境部关于印发节能产品政府采购品目清单的通知》（财库〔20</w:t>
      </w:r>
      <w:r>
        <w:rPr>
          <w:rFonts w:ascii="宋体" w:hAnsi="宋体"/>
        </w:rPr>
        <w:t>19</w:t>
      </w:r>
      <w:r>
        <w:rPr>
          <w:rFonts w:ascii="宋体" w:hAnsi="宋体" w:hint="eastAsia"/>
        </w:rPr>
        <w:t>〕</w:t>
      </w:r>
      <w:r>
        <w:rPr>
          <w:rFonts w:ascii="宋体" w:hAnsi="宋体"/>
        </w:rPr>
        <w:t>19</w:t>
      </w:r>
      <w:r>
        <w:rPr>
          <w:rFonts w:ascii="宋体" w:hAnsi="宋体" w:hint="eastAsia"/>
        </w:rPr>
        <w:t>号）列明的政府采购强制产品，则所投该产品符合节能产品的认证要求。</w:t>
      </w:r>
    </w:p>
    <w:p>
      <w:pPr>
        <w:ind w:firstLine="480" w:firstLineChars="200"/>
        <w:rPr>
          <w:rFonts w:ascii="宋体" w:hAnsi="宋体"/>
        </w:rPr>
      </w:pPr>
      <w:r>
        <w:rPr>
          <w:rFonts w:ascii="宋体" w:hAnsi="宋体" w:hint="eastAsia"/>
        </w:rPr>
        <w:t>12. 我单位保证，不存在“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的情形。</w:t>
      </w:r>
    </w:p>
    <w:p>
      <w:pPr>
        <w:ind w:firstLine="480" w:firstLineChars="200"/>
        <w:rPr>
          <w:rFonts w:ascii="宋体" w:hAnsi="宋体"/>
          <w:szCs w:val="21"/>
        </w:rPr>
      </w:pPr>
      <w:r>
        <w:rPr>
          <w:rFonts w:ascii="宋体" w:hAnsi="宋体" w:hint="eastAsia"/>
          <w:szCs w:val="21"/>
        </w:rPr>
        <w:t>以上承诺，如有违反，愿依照国家相关法律法规处理，并承担由此给采购人带来的损失。</w:t>
      </w:r>
    </w:p>
    <w:p>
      <w:pPr>
        <w:spacing w:before="60" w:beforeLines="25" w:after="60" w:afterLines="25"/>
        <w:ind w:firstLine="6240" w:firstLineChars="2600"/>
        <w:rPr>
          <w:rFonts w:ascii="宋体" w:hAnsi="宋体"/>
          <w:szCs w:val="21"/>
        </w:rPr>
      </w:pPr>
    </w:p>
    <w:p>
      <w:pPr>
        <w:spacing w:before="60" w:beforeLines="25" w:after="60" w:afterLines="25"/>
        <w:jc w:val="right"/>
        <w:rPr>
          <w:color w:val="FF0000"/>
        </w:rPr>
      </w:pPr>
      <w:r>
        <w:rPr>
          <w:rFonts w:hint="eastAsia"/>
          <w:color w:val="FF0000"/>
          <w:szCs w:val="21"/>
        </w:rPr>
        <w:t>投标人：</w:t>
      </w:r>
      <w:r>
        <w:rPr>
          <w:rFonts w:hint="eastAsia"/>
          <w:color w:val="FF0000"/>
          <w:szCs w:val="21"/>
          <w:u w:val="single"/>
        </w:rPr>
        <w:tab/>
      </w:r>
      <w:r>
        <w:rPr>
          <w:rFonts w:hint="eastAsia"/>
          <w:color w:val="FF0000"/>
          <w:szCs w:val="21"/>
          <w:u w:val="single"/>
        </w:rPr>
        <w:tab/>
      </w:r>
      <w:r>
        <w:rPr>
          <w:rFonts w:hint="eastAsia"/>
          <w:color w:val="FF0000"/>
          <w:szCs w:val="21"/>
          <w:u w:val="single"/>
        </w:rPr>
        <w:tab/>
      </w:r>
      <w:r>
        <w:rPr>
          <w:rFonts w:hint="eastAsia"/>
          <w:color w:val="FF0000"/>
          <w:szCs w:val="21"/>
          <w:u w:val="single"/>
        </w:rPr>
        <w:tab/>
      </w:r>
      <w:r>
        <w:rPr>
          <w:rFonts w:hint="eastAsia"/>
          <w:color w:val="FF0000"/>
          <w:szCs w:val="21"/>
          <w:u w:val="single"/>
        </w:rPr>
        <w:tab/>
      </w:r>
      <w:r>
        <w:rPr>
          <w:rFonts w:hint="eastAsia"/>
          <w:color w:val="FF0000"/>
          <w:szCs w:val="21"/>
          <w:u w:val="single"/>
        </w:rPr>
        <w:tab/>
      </w:r>
    </w:p>
    <w:p>
      <w:pPr>
        <w:ind w:firstLine="645"/>
        <w:rPr>
          <w:rFonts w:ascii="宋体" w:hAnsi="宋体"/>
          <w:color w:val="FF0000"/>
          <w:szCs w:val="21"/>
        </w:rPr>
      </w:pPr>
      <w:r>
        <w:rPr>
          <w:rFonts w:ascii="宋体" w:hAnsi="宋体" w:hint="eastAsia"/>
          <w:color w:val="FF0000"/>
          <w:szCs w:val="21"/>
        </w:rPr>
        <w:t xml:space="preserve">                                           日期：</w:t>
      </w:r>
      <w:r>
        <w:rPr>
          <w:rFonts w:hint="eastAsia"/>
          <w:color w:val="FF0000"/>
          <w:szCs w:val="21"/>
          <w:u w:val="single"/>
        </w:rPr>
        <w:tab/>
      </w:r>
      <w:r>
        <w:rPr>
          <w:rFonts w:hint="eastAsia"/>
          <w:color w:val="FF0000"/>
          <w:szCs w:val="21"/>
          <w:u w:val="single"/>
        </w:rPr>
        <w:tab/>
      </w:r>
      <w:r>
        <w:rPr>
          <w:rFonts w:ascii="宋体" w:hAnsi="宋体" w:hint="eastAsia"/>
          <w:color w:val="FF0000"/>
          <w:szCs w:val="21"/>
        </w:rPr>
        <w:t>年</w:t>
      </w:r>
      <w:r>
        <w:rPr>
          <w:rFonts w:hint="eastAsia"/>
          <w:color w:val="FF0000"/>
          <w:szCs w:val="21"/>
          <w:u w:val="single"/>
        </w:rPr>
        <w:tab/>
      </w:r>
      <w:r>
        <w:rPr>
          <w:rFonts w:hint="eastAsia"/>
          <w:color w:val="FF0000"/>
          <w:szCs w:val="21"/>
          <w:u w:val="single"/>
        </w:rPr>
        <w:tab/>
      </w:r>
      <w:r>
        <w:rPr>
          <w:rFonts w:ascii="宋体" w:hAnsi="宋体" w:hint="eastAsia"/>
          <w:color w:val="FF0000"/>
          <w:szCs w:val="21"/>
        </w:rPr>
        <w:t>月</w:t>
      </w:r>
      <w:r>
        <w:rPr>
          <w:rFonts w:hint="eastAsia"/>
          <w:color w:val="FF0000"/>
          <w:szCs w:val="21"/>
          <w:u w:val="single"/>
        </w:rPr>
        <w:tab/>
      </w:r>
      <w:r>
        <w:rPr>
          <w:rFonts w:hint="eastAsia"/>
          <w:color w:val="FF0000"/>
          <w:szCs w:val="21"/>
          <w:u w:val="single"/>
        </w:rPr>
        <w:tab/>
      </w:r>
      <w:r>
        <w:rPr>
          <w:rFonts w:ascii="宋体" w:hAnsi="宋体" w:hint="eastAsia"/>
          <w:color w:val="FF0000"/>
          <w:szCs w:val="21"/>
        </w:rPr>
        <w:t>日</w:t>
      </w:r>
    </w:p>
    <w:p>
      <w:pPr>
        <w:rPr>
          <w:rFonts w:ascii="宋体"/>
          <w:b/>
          <w:szCs w:val="21"/>
        </w:rPr>
      </w:pPr>
      <w:bookmarkEnd w:id="45"/>
    </w:p>
    <w:p>
      <w:pPr>
        <w:ind w:firstLine="480" w:firstLineChars="200"/>
        <w:jc w:val="center"/>
        <w:rPr>
          <w:rFonts w:hAnsi="宋体"/>
          <w:b/>
          <w:bCs/>
        </w:rPr>
      </w:pPr>
    </w:p>
    <w:p>
      <w:pPr>
        <w:pStyle w:val="Heading4"/>
        <w:jc w:val="center"/>
        <w:rPr>
          <w:rFonts w:ascii="黑体"/>
          <w:b w:val="0"/>
          <w:sz w:val="24"/>
          <w:szCs w:val="24"/>
        </w:rPr>
      </w:pPr>
      <w:r>
        <w:rPr>
          <w:rFonts w:ascii="黑体" w:hint="eastAsia"/>
          <w:b w:val="0"/>
          <w:sz w:val="24"/>
          <w:szCs w:val="24"/>
        </w:rPr>
        <w:t>三、投标人情况及资格证明文件</w:t>
      </w:r>
    </w:p>
    <w:p>
      <w:pPr>
        <w:ind w:left="723" w:hanging="720" w:hangingChars="300"/>
        <w:rPr>
          <w:b/>
          <w:bCs/>
        </w:rPr>
      </w:pPr>
      <w:bookmarkStart w:id="48" w:name="_Hlk72257590"/>
      <w:r>
        <w:rPr>
          <w:rFonts w:hint="eastAsia"/>
          <w:b/>
          <w:bCs/>
        </w:rPr>
        <w:t>1. 投标人情况介绍：</w:t>
      </w:r>
    </w:p>
    <w:p>
      <w:pPr>
        <w:ind w:left="723" w:hanging="720" w:hangingChars="300"/>
        <w:rPr>
          <w:b/>
          <w:bCs/>
        </w:rPr>
      </w:pPr>
    </w:p>
    <w:p>
      <w:pPr>
        <w:ind w:left="723" w:hanging="720" w:hangingChars="300"/>
        <w:rPr>
          <w:b/>
          <w:bCs/>
        </w:rPr>
      </w:pPr>
      <w:r>
        <w:rPr>
          <w:rFonts w:hint="eastAsia"/>
          <w:b/>
          <w:bCs/>
        </w:rPr>
        <w:t>2.资格证明材料：</w:t>
      </w:r>
    </w:p>
    <w:p>
      <w:pPr>
        <w:spacing w:before="120" w:beforeLines="50"/>
        <w:ind w:firstLine="480" w:firstLineChars="200"/>
        <w:rPr>
          <w:b/>
          <w:bCs/>
          <w:color w:val="FF0000"/>
        </w:rPr>
      </w:pPr>
      <w:r>
        <w:rPr>
          <w:rFonts w:hint="eastAsia"/>
          <w:b/>
          <w:bCs/>
          <w:color w:val="FF0000"/>
        </w:rPr>
        <w:t>（特别提示：投标人须按本招标文件第一册第一章招标公告 “申请人的资格要求”（即投标人资格要求）提供相关的资格证明资料，未提供或提供不完整、不符合要求的，将作投标无效处理。）</w:t>
      </w:r>
    </w:p>
    <w:p>
      <w:pPr>
        <w:pStyle w:val="BodyText2"/>
        <w:rPr>
          <w:b/>
          <w:bCs/>
          <w:color w:val="FF0000"/>
        </w:rPr>
      </w:pPr>
    </w:p>
    <w:p>
      <w:pPr>
        <w:pStyle w:val="Heading4"/>
        <w:jc w:val="center"/>
        <w:rPr>
          <w:rFonts w:ascii="黑体"/>
          <w:b w:val="0"/>
          <w:sz w:val="24"/>
          <w:szCs w:val="24"/>
        </w:rPr>
      </w:pPr>
      <w:r>
        <w:rPr>
          <w:rFonts w:hint="eastAsia"/>
          <w:sz w:val="24"/>
        </w:rPr>
        <w:t>四</w:t>
      </w:r>
      <w:r>
        <w:rPr>
          <w:rFonts w:ascii="黑体" w:hint="eastAsia"/>
          <w:b w:val="0"/>
          <w:sz w:val="24"/>
          <w:szCs w:val="24"/>
        </w:rPr>
        <w:t>、分项报价清单</w:t>
      </w:r>
    </w:p>
    <w:p>
      <w:pPr>
        <w:tabs>
          <w:tab w:val="left" w:pos="720"/>
        </w:tabs>
        <w:ind w:firstLine="3120" w:firstLineChars="1300"/>
        <w:rPr>
          <w:b/>
        </w:rPr>
      </w:pPr>
      <w:r>
        <w:rPr>
          <w:rFonts w:hint="eastAsia"/>
          <w:b/>
        </w:rPr>
        <w:t>（一）分项报价表</w:t>
      </w:r>
    </w:p>
    <w:p>
      <w:pPr>
        <w:ind w:firstLine="480" w:firstLineChars="200"/>
        <w:rPr>
          <w:rFonts w:ascii="宋体" w:hAnsi="宋体"/>
          <w:b/>
        </w:rPr>
      </w:pP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59"/>
        <w:gridCol w:w="1047"/>
        <w:gridCol w:w="1795"/>
        <w:gridCol w:w="747"/>
        <w:gridCol w:w="939"/>
        <w:gridCol w:w="666"/>
        <w:gridCol w:w="666"/>
        <w:gridCol w:w="666"/>
        <w:gridCol w:w="666"/>
        <w:gridCol w:w="66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659" w:type="dxa"/>
            <w:vAlign w:val="center"/>
          </w:tcPr>
          <w:p>
            <w:pPr>
              <w:widowControl w:val="0"/>
              <w:jc w:val="center"/>
              <w:rPr>
                <w:rFonts w:ascii="宋体" w:eastAsia="宋体" w:hAnsi="宋体" w:cs="宋体"/>
              </w:rPr>
            </w:pPr>
            <w:r>
              <w:rPr>
                <w:rFonts w:ascii="宋体" w:eastAsia="宋体" w:hAnsi="宋体" w:cs="宋体" w:hint="eastAsia"/>
              </w:rPr>
              <w:t>序号</w:t>
            </w:r>
          </w:p>
        </w:tc>
        <w:tc>
          <w:tcPr>
            <w:tcW w:w="1047" w:type="dxa"/>
            <w:vAlign w:val="center"/>
          </w:tcPr>
          <w:p>
            <w:pPr>
              <w:widowControl w:val="0"/>
              <w:jc w:val="center"/>
              <w:rPr>
                <w:rFonts w:ascii="宋体" w:eastAsia="宋体" w:hAnsi="宋体" w:cs="宋体"/>
              </w:rPr>
            </w:pPr>
            <w:r>
              <w:rPr>
                <w:rFonts w:ascii="宋体" w:eastAsia="宋体" w:hAnsi="宋体" w:cs="宋体" w:hint="eastAsia"/>
              </w:rPr>
              <w:t>货物名称</w:t>
            </w:r>
          </w:p>
        </w:tc>
        <w:tc>
          <w:tcPr>
            <w:tcW w:w="1795" w:type="dxa"/>
            <w:vAlign w:val="center"/>
          </w:tcPr>
          <w:p>
            <w:pPr>
              <w:widowControl w:val="0"/>
              <w:jc w:val="center"/>
              <w:rPr>
                <w:rFonts w:ascii="宋体" w:eastAsia="宋体" w:hAnsi="宋体" w:cs="宋体"/>
              </w:rPr>
            </w:pPr>
            <w:r>
              <w:rPr>
                <w:rFonts w:hint="eastAsia"/>
                <w:b/>
                <w:szCs w:val="21"/>
              </w:rPr>
              <w:t>规格/品牌/型号</w:t>
            </w:r>
          </w:p>
        </w:tc>
        <w:tc>
          <w:tcPr>
            <w:tcW w:w="747" w:type="dxa"/>
            <w:vAlign w:val="center"/>
          </w:tcPr>
          <w:p>
            <w:pPr>
              <w:widowControl w:val="0"/>
              <w:jc w:val="center"/>
              <w:rPr>
                <w:rFonts w:ascii="宋体" w:eastAsia="宋体" w:hAnsi="宋体" w:cs="宋体"/>
              </w:rPr>
            </w:pPr>
            <w:r>
              <w:rPr>
                <w:rFonts w:ascii="宋体" w:eastAsia="宋体" w:hAnsi="宋体" w:cs="宋体" w:hint="eastAsia"/>
              </w:rPr>
              <w:t>制造商名称</w:t>
            </w:r>
          </w:p>
        </w:tc>
        <w:tc>
          <w:tcPr>
            <w:tcW w:w="939" w:type="dxa"/>
            <w:vAlign w:val="center"/>
          </w:tcPr>
          <w:p>
            <w:pPr>
              <w:widowControl w:val="0"/>
              <w:jc w:val="center"/>
              <w:rPr>
                <w:rFonts w:ascii="宋体" w:eastAsia="宋体" w:hAnsi="宋体" w:cs="宋体"/>
              </w:rPr>
            </w:pPr>
            <w:r>
              <w:rPr>
                <w:rFonts w:hint="eastAsia"/>
                <w:b/>
                <w:color w:val="FF0000"/>
                <w:szCs w:val="21"/>
              </w:rPr>
              <w:t>原产地</w:t>
            </w:r>
          </w:p>
        </w:tc>
        <w:tc>
          <w:tcPr>
            <w:tcW w:w="666" w:type="dxa"/>
            <w:vAlign w:val="center"/>
          </w:tcPr>
          <w:p>
            <w:pPr>
              <w:widowControl w:val="0"/>
              <w:jc w:val="center"/>
              <w:rPr>
                <w:rFonts w:ascii="宋体" w:eastAsia="宋体" w:hAnsi="宋体" w:cs="宋体"/>
              </w:rPr>
            </w:pPr>
            <w:r>
              <w:rPr>
                <w:rFonts w:ascii="宋体" w:eastAsia="宋体" w:hAnsi="宋体" w:cs="宋体" w:hint="eastAsia"/>
              </w:rPr>
              <w:t>数量</w:t>
            </w:r>
          </w:p>
        </w:tc>
        <w:tc>
          <w:tcPr>
            <w:tcW w:w="666" w:type="dxa"/>
            <w:vAlign w:val="center"/>
          </w:tcPr>
          <w:p>
            <w:pPr>
              <w:widowControl w:val="0"/>
              <w:jc w:val="center"/>
              <w:rPr>
                <w:rFonts w:ascii="宋体" w:eastAsia="宋体" w:hAnsi="宋体" w:cs="宋体"/>
              </w:rPr>
            </w:pPr>
            <w:r>
              <w:rPr>
                <w:rFonts w:ascii="宋体" w:eastAsia="宋体" w:hAnsi="宋体" w:cs="宋体" w:hint="eastAsia"/>
              </w:rPr>
              <w:t>单位</w:t>
            </w:r>
          </w:p>
        </w:tc>
        <w:tc>
          <w:tcPr>
            <w:tcW w:w="666" w:type="dxa"/>
            <w:vAlign w:val="center"/>
          </w:tcPr>
          <w:p>
            <w:pPr>
              <w:widowControl w:val="0"/>
              <w:jc w:val="both"/>
              <w:rPr>
                <w:szCs w:val="21"/>
              </w:rPr>
            </w:pPr>
            <w:r>
              <w:rPr>
                <w:rFonts w:hint="eastAsia"/>
                <w:szCs w:val="21"/>
              </w:rPr>
              <w:t>单</w:t>
            </w:r>
          </w:p>
          <w:p>
            <w:pPr>
              <w:widowControl w:val="0"/>
              <w:jc w:val="both"/>
              <w:rPr>
                <w:rFonts w:ascii="宋体" w:eastAsia="宋体" w:hAnsi="宋体" w:cs="宋体"/>
              </w:rPr>
            </w:pPr>
            <w:r>
              <w:rPr>
                <w:rFonts w:hint="eastAsia"/>
                <w:szCs w:val="21"/>
              </w:rPr>
              <w:t>价</w:t>
            </w:r>
            <w:r>
              <w:rPr>
                <w:rFonts w:eastAsia="宋体" w:hint="eastAsia"/>
                <w:szCs w:val="21"/>
                <w:lang w:eastAsia="zh-CN"/>
              </w:rPr>
              <w:t>（</w:t>
            </w:r>
            <w:r>
              <w:rPr>
                <w:rFonts w:hint="eastAsia"/>
                <w:szCs w:val="21"/>
              </w:rPr>
              <w:t>元</w:t>
            </w:r>
            <w:r>
              <w:rPr>
                <w:rFonts w:eastAsia="宋体" w:hint="eastAsia"/>
                <w:szCs w:val="21"/>
                <w:lang w:eastAsia="zh-CN"/>
              </w:rPr>
              <w:t>）</w:t>
            </w:r>
          </w:p>
        </w:tc>
        <w:tc>
          <w:tcPr>
            <w:tcW w:w="666" w:type="dxa"/>
            <w:vAlign w:val="center"/>
          </w:tcPr>
          <w:p>
            <w:pPr>
              <w:widowControl w:val="0"/>
              <w:jc w:val="both"/>
              <w:rPr>
                <w:rFonts w:ascii="宋体" w:eastAsia="宋体" w:hAnsi="宋体" w:cs="宋体"/>
              </w:rPr>
            </w:pPr>
            <w:r>
              <w:rPr>
                <w:rFonts w:hint="eastAsia"/>
                <w:szCs w:val="21"/>
              </w:rPr>
              <w:t>合价</w:t>
            </w:r>
            <w:r>
              <w:rPr>
                <w:rFonts w:eastAsia="宋体" w:hint="eastAsia"/>
                <w:szCs w:val="21"/>
                <w:lang w:eastAsia="zh-CN"/>
              </w:rPr>
              <w:t>（</w:t>
            </w:r>
            <w:r>
              <w:rPr>
                <w:rFonts w:hint="eastAsia"/>
                <w:szCs w:val="21"/>
              </w:rPr>
              <w:t>元</w:t>
            </w:r>
            <w:r>
              <w:rPr>
                <w:rFonts w:eastAsia="宋体" w:hint="eastAsia"/>
                <w:szCs w:val="21"/>
                <w:lang w:eastAsia="zh-CN"/>
              </w:rPr>
              <w:t>）</w:t>
            </w:r>
          </w:p>
        </w:tc>
        <w:tc>
          <w:tcPr>
            <w:tcW w:w="666" w:type="dxa"/>
            <w:vAlign w:val="center"/>
          </w:tcPr>
          <w:p>
            <w:pPr>
              <w:widowControl w:val="0"/>
              <w:jc w:val="center"/>
              <w:rPr>
                <w:rFonts w:ascii="宋体" w:eastAsia="宋体" w:hAnsi="宋体" w:cs="宋体"/>
              </w:rPr>
            </w:pPr>
            <w:r>
              <w:rPr>
                <w:rFonts w:ascii="宋体" w:eastAsia="宋体" w:hAnsi="宋体" w:cs="宋体" w:hint="eastAsia"/>
              </w:rPr>
              <w:t>备注</w:t>
            </w:r>
          </w:p>
        </w:tc>
      </w:tr>
      <w:tr>
        <w:tblPrEx>
          <w:tblW w:w="0" w:type="auto"/>
          <w:tblInd w:w="0" w:type="dxa"/>
          <w:tblLayout w:type="fixed"/>
          <w:tblCellMar>
            <w:top w:w="0" w:type="dxa"/>
            <w:left w:w="108" w:type="dxa"/>
            <w:bottom w:w="0" w:type="dxa"/>
            <w:right w:w="108" w:type="dxa"/>
          </w:tblCellMar>
        </w:tblPrEx>
        <w:tc>
          <w:tcPr>
            <w:tcW w:w="659" w:type="dxa"/>
            <w:vAlign w:val="center"/>
          </w:tcPr>
          <w:p>
            <w:pPr>
              <w:widowControl w:val="0"/>
              <w:jc w:val="center"/>
              <w:rPr>
                <w:rFonts w:ascii="宋体" w:eastAsia="宋体" w:hAnsi="宋体" w:cs="宋体"/>
              </w:rPr>
            </w:pPr>
            <w:r>
              <w:rPr>
                <w:rFonts w:ascii="宋体" w:eastAsia="宋体" w:hAnsi="宋体" w:cs="宋体" w:hint="eastAsia"/>
              </w:rPr>
              <w:t>1</w:t>
            </w:r>
          </w:p>
        </w:tc>
        <w:tc>
          <w:tcPr>
            <w:tcW w:w="1047" w:type="dxa"/>
            <w:vAlign w:val="center"/>
          </w:tcPr>
          <w:p>
            <w:pPr>
              <w:widowControl w:val="0"/>
              <w:jc w:val="center"/>
              <w:rPr>
                <w:rFonts w:ascii="宋体" w:eastAsia="宋体" w:hAnsi="宋体" w:cs="宋体"/>
              </w:rPr>
            </w:pPr>
          </w:p>
        </w:tc>
        <w:tc>
          <w:tcPr>
            <w:tcW w:w="1795" w:type="dxa"/>
            <w:vAlign w:val="center"/>
          </w:tcPr>
          <w:p>
            <w:pPr>
              <w:widowControl w:val="0"/>
              <w:jc w:val="center"/>
              <w:rPr>
                <w:rFonts w:ascii="宋体" w:eastAsia="宋体" w:hAnsi="宋体" w:cs="宋体"/>
              </w:rPr>
            </w:pPr>
          </w:p>
        </w:tc>
        <w:tc>
          <w:tcPr>
            <w:tcW w:w="747" w:type="dxa"/>
            <w:vAlign w:val="center"/>
          </w:tcPr>
          <w:p>
            <w:pPr>
              <w:widowControl w:val="0"/>
              <w:jc w:val="center"/>
              <w:rPr>
                <w:rFonts w:ascii="宋体" w:eastAsia="宋体" w:hAnsi="宋体" w:cs="宋体"/>
              </w:rPr>
            </w:pPr>
          </w:p>
        </w:tc>
        <w:tc>
          <w:tcPr>
            <w:tcW w:w="939"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r>
      <w:tr>
        <w:tblPrEx>
          <w:tblW w:w="0" w:type="auto"/>
          <w:tblInd w:w="0" w:type="dxa"/>
          <w:tblLayout w:type="fixed"/>
          <w:tblCellMar>
            <w:top w:w="0" w:type="dxa"/>
            <w:left w:w="108" w:type="dxa"/>
            <w:bottom w:w="0" w:type="dxa"/>
            <w:right w:w="108" w:type="dxa"/>
          </w:tblCellMar>
        </w:tblPrEx>
        <w:tc>
          <w:tcPr>
            <w:tcW w:w="659" w:type="dxa"/>
            <w:vAlign w:val="center"/>
          </w:tcPr>
          <w:p>
            <w:pPr>
              <w:widowControl w:val="0"/>
              <w:jc w:val="center"/>
              <w:rPr>
                <w:rFonts w:ascii="宋体" w:eastAsia="宋体" w:hAnsi="宋体" w:cs="宋体"/>
              </w:rPr>
            </w:pPr>
            <w:r>
              <w:rPr>
                <w:rFonts w:ascii="宋体" w:eastAsia="宋体" w:hAnsi="宋体" w:cs="宋体" w:hint="eastAsia"/>
              </w:rPr>
              <w:t>2</w:t>
            </w:r>
          </w:p>
        </w:tc>
        <w:tc>
          <w:tcPr>
            <w:tcW w:w="1047" w:type="dxa"/>
            <w:vAlign w:val="center"/>
          </w:tcPr>
          <w:p>
            <w:pPr>
              <w:widowControl w:val="0"/>
              <w:jc w:val="center"/>
              <w:rPr>
                <w:rFonts w:ascii="宋体" w:eastAsia="宋体" w:hAnsi="宋体" w:cs="宋体"/>
              </w:rPr>
            </w:pPr>
          </w:p>
        </w:tc>
        <w:tc>
          <w:tcPr>
            <w:tcW w:w="1795" w:type="dxa"/>
            <w:vAlign w:val="center"/>
          </w:tcPr>
          <w:p>
            <w:pPr>
              <w:widowControl w:val="0"/>
              <w:jc w:val="center"/>
              <w:rPr>
                <w:rFonts w:ascii="宋体" w:eastAsia="宋体" w:hAnsi="宋体" w:cs="宋体"/>
              </w:rPr>
            </w:pPr>
          </w:p>
        </w:tc>
        <w:tc>
          <w:tcPr>
            <w:tcW w:w="747" w:type="dxa"/>
            <w:vAlign w:val="center"/>
          </w:tcPr>
          <w:p>
            <w:pPr>
              <w:widowControl w:val="0"/>
              <w:jc w:val="center"/>
              <w:rPr>
                <w:rFonts w:ascii="宋体" w:eastAsia="宋体" w:hAnsi="宋体" w:cs="宋体"/>
              </w:rPr>
            </w:pPr>
          </w:p>
        </w:tc>
        <w:tc>
          <w:tcPr>
            <w:tcW w:w="939"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r>
      <w:tr>
        <w:tblPrEx>
          <w:tblW w:w="0" w:type="auto"/>
          <w:tblInd w:w="0" w:type="dxa"/>
          <w:tblLayout w:type="fixed"/>
          <w:tblCellMar>
            <w:top w:w="0" w:type="dxa"/>
            <w:left w:w="108" w:type="dxa"/>
            <w:bottom w:w="0" w:type="dxa"/>
            <w:right w:w="108" w:type="dxa"/>
          </w:tblCellMar>
        </w:tblPrEx>
        <w:tc>
          <w:tcPr>
            <w:tcW w:w="659" w:type="dxa"/>
            <w:vAlign w:val="center"/>
          </w:tcPr>
          <w:p>
            <w:pPr>
              <w:widowControl w:val="0"/>
              <w:jc w:val="center"/>
              <w:rPr>
                <w:rFonts w:ascii="宋体" w:eastAsia="宋体" w:hAnsi="宋体" w:cs="宋体"/>
              </w:rPr>
            </w:pPr>
            <w:r>
              <w:rPr>
                <w:rFonts w:ascii="宋体" w:eastAsia="宋体" w:hAnsi="宋体" w:cs="宋体" w:hint="eastAsia"/>
              </w:rPr>
              <w:t>3</w:t>
            </w:r>
          </w:p>
        </w:tc>
        <w:tc>
          <w:tcPr>
            <w:tcW w:w="1047" w:type="dxa"/>
            <w:vAlign w:val="center"/>
          </w:tcPr>
          <w:p>
            <w:pPr>
              <w:widowControl w:val="0"/>
              <w:jc w:val="center"/>
              <w:rPr>
                <w:rFonts w:ascii="宋体" w:eastAsia="宋体" w:hAnsi="宋体" w:cs="宋体"/>
              </w:rPr>
            </w:pPr>
          </w:p>
        </w:tc>
        <w:tc>
          <w:tcPr>
            <w:tcW w:w="1795" w:type="dxa"/>
            <w:vAlign w:val="center"/>
          </w:tcPr>
          <w:p>
            <w:pPr>
              <w:widowControl w:val="0"/>
              <w:jc w:val="center"/>
              <w:rPr>
                <w:rFonts w:ascii="宋体" w:eastAsia="宋体" w:hAnsi="宋体" w:cs="宋体"/>
              </w:rPr>
            </w:pPr>
          </w:p>
        </w:tc>
        <w:tc>
          <w:tcPr>
            <w:tcW w:w="747" w:type="dxa"/>
            <w:vAlign w:val="center"/>
          </w:tcPr>
          <w:p>
            <w:pPr>
              <w:widowControl w:val="0"/>
              <w:jc w:val="center"/>
              <w:rPr>
                <w:rFonts w:ascii="宋体" w:eastAsia="宋体" w:hAnsi="宋体" w:cs="宋体"/>
              </w:rPr>
            </w:pPr>
          </w:p>
        </w:tc>
        <w:tc>
          <w:tcPr>
            <w:tcW w:w="939"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r>
      <w:tr>
        <w:tblPrEx>
          <w:tblW w:w="0" w:type="auto"/>
          <w:tblInd w:w="0" w:type="dxa"/>
          <w:tblLayout w:type="fixed"/>
          <w:tblCellMar>
            <w:top w:w="0" w:type="dxa"/>
            <w:left w:w="108" w:type="dxa"/>
            <w:bottom w:w="0" w:type="dxa"/>
            <w:right w:w="108" w:type="dxa"/>
          </w:tblCellMar>
        </w:tblPrEx>
        <w:tc>
          <w:tcPr>
            <w:tcW w:w="659" w:type="dxa"/>
            <w:vAlign w:val="center"/>
          </w:tcPr>
          <w:p>
            <w:pPr>
              <w:widowControl w:val="0"/>
              <w:jc w:val="center"/>
              <w:rPr>
                <w:rFonts w:ascii="宋体" w:eastAsia="宋体" w:hAnsi="宋体" w:cs="宋体"/>
              </w:rPr>
            </w:pPr>
            <w:r>
              <w:rPr>
                <w:rFonts w:ascii="宋体" w:eastAsia="宋体" w:hAnsi="宋体" w:cs="宋体" w:hint="eastAsia"/>
              </w:rPr>
              <w:t>4</w:t>
            </w:r>
          </w:p>
        </w:tc>
        <w:tc>
          <w:tcPr>
            <w:tcW w:w="1047" w:type="dxa"/>
            <w:vAlign w:val="center"/>
          </w:tcPr>
          <w:p>
            <w:pPr>
              <w:widowControl w:val="0"/>
              <w:jc w:val="center"/>
              <w:rPr>
                <w:rFonts w:ascii="宋体" w:eastAsia="宋体" w:hAnsi="宋体" w:cs="宋体"/>
              </w:rPr>
            </w:pPr>
          </w:p>
        </w:tc>
        <w:tc>
          <w:tcPr>
            <w:tcW w:w="1795" w:type="dxa"/>
            <w:vAlign w:val="center"/>
          </w:tcPr>
          <w:p>
            <w:pPr>
              <w:widowControl w:val="0"/>
              <w:jc w:val="center"/>
              <w:rPr>
                <w:rFonts w:ascii="宋体" w:eastAsia="宋体" w:hAnsi="宋体" w:cs="宋体"/>
              </w:rPr>
            </w:pPr>
          </w:p>
        </w:tc>
        <w:tc>
          <w:tcPr>
            <w:tcW w:w="747" w:type="dxa"/>
            <w:vAlign w:val="center"/>
          </w:tcPr>
          <w:p>
            <w:pPr>
              <w:widowControl w:val="0"/>
              <w:jc w:val="center"/>
              <w:rPr>
                <w:rFonts w:ascii="宋体" w:eastAsia="宋体" w:hAnsi="宋体" w:cs="宋体"/>
              </w:rPr>
            </w:pPr>
          </w:p>
        </w:tc>
        <w:tc>
          <w:tcPr>
            <w:tcW w:w="939"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r>
      <w:tr>
        <w:tblPrEx>
          <w:tblW w:w="0" w:type="auto"/>
          <w:tblInd w:w="0" w:type="dxa"/>
          <w:tblLayout w:type="fixed"/>
          <w:tblCellMar>
            <w:top w:w="0" w:type="dxa"/>
            <w:left w:w="108" w:type="dxa"/>
            <w:bottom w:w="0" w:type="dxa"/>
            <w:right w:w="108" w:type="dxa"/>
          </w:tblCellMar>
        </w:tblPrEx>
        <w:tc>
          <w:tcPr>
            <w:tcW w:w="659" w:type="dxa"/>
            <w:vAlign w:val="center"/>
          </w:tcPr>
          <w:p>
            <w:pPr>
              <w:widowControl w:val="0"/>
              <w:jc w:val="center"/>
              <w:rPr>
                <w:rFonts w:ascii="宋体" w:eastAsia="宋体" w:hAnsi="宋体" w:cs="宋体"/>
              </w:rPr>
            </w:pPr>
            <w:r>
              <w:rPr>
                <w:rFonts w:ascii="宋体" w:eastAsia="宋体" w:hAnsi="宋体" w:cs="宋体" w:hint="eastAsia"/>
              </w:rPr>
              <w:t>...</w:t>
            </w:r>
          </w:p>
        </w:tc>
        <w:tc>
          <w:tcPr>
            <w:tcW w:w="1047" w:type="dxa"/>
            <w:vAlign w:val="center"/>
          </w:tcPr>
          <w:p>
            <w:pPr>
              <w:widowControl w:val="0"/>
              <w:jc w:val="center"/>
              <w:rPr>
                <w:rFonts w:ascii="宋体" w:eastAsia="宋体" w:hAnsi="宋体" w:cs="宋体"/>
              </w:rPr>
            </w:pPr>
          </w:p>
        </w:tc>
        <w:tc>
          <w:tcPr>
            <w:tcW w:w="1795" w:type="dxa"/>
            <w:vAlign w:val="center"/>
          </w:tcPr>
          <w:p>
            <w:pPr>
              <w:widowControl w:val="0"/>
              <w:jc w:val="center"/>
              <w:rPr>
                <w:rFonts w:ascii="宋体" w:eastAsia="宋体" w:hAnsi="宋体" w:cs="宋体"/>
              </w:rPr>
            </w:pPr>
          </w:p>
        </w:tc>
        <w:tc>
          <w:tcPr>
            <w:tcW w:w="747" w:type="dxa"/>
            <w:vAlign w:val="center"/>
          </w:tcPr>
          <w:p>
            <w:pPr>
              <w:widowControl w:val="0"/>
              <w:jc w:val="center"/>
              <w:rPr>
                <w:rFonts w:ascii="宋体" w:eastAsia="宋体" w:hAnsi="宋体" w:cs="宋体"/>
              </w:rPr>
            </w:pPr>
          </w:p>
        </w:tc>
        <w:tc>
          <w:tcPr>
            <w:tcW w:w="939"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c>
          <w:tcPr>
            <w:tcW w:w="666" w:type="dxa"/>
            <w:vAlign w:val="center"/>
          </w:tcPr>
          <w:p>
            <w:pPr>
              <w:widowControl w:val="0"/>
              <w:jc w:val="center"/>
              <w:rPr>
                <w:rFonts w:ascii="宋体" w:eastAsia="宋体" w:hAnsi="宋体" w:cs="宋体"/>
              </w:rPr>
            </w:pPr>
          </w:p>
        </w:tc>
      </w:tr>
      <w:tr>
        <w:tblPrEx>
          <w:tblW w:w="0" w:type="auto"/>
          <w:tblInd w:w="0" w:type="dxa"/>
          <w:tblLayout w:type="fixed"/>
          <w:tblCellMar>
            <w:top w:w="0" w:type="dxa"/>
            <w:left w:w="108" w:type="dxa"/>
            <w:bottom w:w="0" w:type="dxa"/>
            <w:right w:w="108" w:type="dxa"/>
          </w:tblCellMar>
        </w:tblPrEx>
        <w:tc>
          <w:tcPr>
            <w:tcW w:w="8517" w:type="dxa"/>
            <w:gridSpan w:val="10"/>
            <w:vAlign w:val="center"/>
          </w:tcPr>
          <w:p>
            <w:pPr>
              <w:widowControl w:val="0"/>
              <w:jc w:val="center"/>
              <w:rPr>
                <w:rFonts w:ascii="宋体" w:eastAsia="宋体" w:hAnsi="宋体" w:cs="宋体"/>
              </w:rPr>
            </w:pPr>
            <w:r>
              <w:rPr>
                <w:rFonts w:hint="eastAsia"/>
                <w:bCs/>
                <w:szCs w:val="21"/>
              </w:rPr>
              <w:t>合计（即投标总价；币种：人民币；单位：元） 小写：            大写：</w:t>
            </w:r>
          </w:p>
        </w:tc>
      </w:tr>
    </w:tbl>
    <w:p>
      <w:pPr>
        <w:ind w:firstLine="480" w:firstLineChars="200"/>
        <w:rPr>
          <w:rFonts w:ascii="宋体" w:hAnsi="宋体"/>
          <w:b/>
        </w:rPr>
      </w:pPr>
    </w:p>
    <w:p>
      <w:pPr>
        <w:ind w:firstLine="480" w:firstLineChars="200"/>
        <w:rPr>
          <w:rFonts w:ascii="宋体" w:hAnsi="宋体"/>
          <w:b/>
        </w:rPr>
      </w:pPr>
      <w:r>
        <w:rPr>
          <w:rFonts w:ascii="宋体" w:hAnsi="宋体" w:hint="eastAsia"/>
          <w:b/>
        </w:rPr>
        <w:t>注：1.本表可按同样格式扩展。</w:t>
      </w:r>
    </w:p>
    <w:p>
      <w:pPr>
        <w:ind w:firstLine="470" w:firstLineChars="196"/>
        <w:rPr>
          <w:rFonts w:ascii="宋体" w:hAnsi="宋体"/>
          <w:b/>
        </w:rPr>
      </w:pPr>
      <w:r>
        <w:rPr>
          <w:rFonts w:ascii="宋体" w:hAnsi="宋体" w:hint="eastAsia"/>
          <w:b/>
        </w:rPr>
        <w:t>2</w:t>
      </w:r>
      <w:r>
        <w:rPr>
          <w:rFonts w:ascii="宋体" w:hAnsi="宋体"/>
          <w:b/>
        </w:rPr>
        <w:t>.</w:t>
      </w:r>
      <w:r>
        <w:rPr>
          <w:rFonts w:ascii="宋体" w:hAnsi="宋体" w:hint="eastAsia"/>
          <w:b/>
        </w:rPr>
        <w:t xml:space="preserve"> 如所投货物属于定制类的非量产货物或无具体品牌、型号的货物，可以在“规格/品牌/型号”一栏仅填写规格信息而不填写品牌、型号等信息（品牌、型号信息用“定制”描述即可）；此类填写错误（所投货物为定制类的非量产货物但供应商却错误填报了品牌、型号）的不利后果由供应商承担，</w:t>
      </w:r>
      <w:r>
        <w:rPr>
          <w:rFonts w:hint="eastAsia"/>
          <w:b/>
        </w:rPr>
        <w:t>经评审委员会认定，在使用综合评分法的项目中一项此类填写错误将按照一项招标技术要求负偏离</w:t>
      </w:r>
      <w:r>
        <w:rPr>
          <w:rFonts w:eastAsia="宋体" w:hint="eastAsia"/>
          <w:b/>
          <w:lang w:eastAsia="zh-CN"/>
        </w:rPr>
        <w:t>做</w:t>
      </w:r>
      <w:r>
        <w:rPr>
          <w:rFonts w:hint="eastAsia"/>
          <w:b/>
        </w:rPr>
        <w:t>处理。</w:t>
      </w:r>
    </w:p>
    <w:p>
      <w:pPr>
        <w:ind w:firstLine="470" w:firstLineChars="196"/>
        <w:rPr>
          <w:rFonts w:ascii="宋体" w:hAnsi="宋体"/>
          <w:b/>
        </w:rPr>
      </w:pPr>
      <w:r>
        <w:rPr>
          <w:rFonts w:ascii="宋体" w:hAnsi="宋体"/>
          <w:b/>
        </w:rPr>
        <w:t>3</w:t>
      </w:r>
      <w:r>
        <w:rPr>
          <w:rFonts w:ascii="宋体" w:hAnsi="宋体" w:hint="eastAsia"/>
          <w:b/>
        </w:rPr>
        <w:t>.“原产地”是指该货物的实际生产加工地，而非品牌总公司所在地。</w:t>
      </w:r>
    </w:p>
    <w:p>
      <w:pPr>
        <w:ind w:firstLine="470" w:firstLineChars="196"/>
        <w:rPr>
          <w:rFonts w:ascii="宋体" w:hAnsi="宋体"/>
          <w:b/>
        </w:rPr>
      </w:pPr>
      <w:r>
        <w:rPr>
          <w:rFonts w:ascii="宋体" w:hAnsi="宋体"/>
          <w:b/>
        </w:rPr>
        <w:t>4</w:t>
      </w:r>
      <w:r>
        <w:rPr>
          <w:rFonts w:ascii="宋体" w:hAnsi="宋体" w:hint="eastAsia"/>
          <w:b/>
        </w:rPr>
        <w:t>.所投货物均应填写制造商名称。</w:t>
      </w:r>
    </w:p>
    <w:p>
      <w:pPr>
        <w:ind w:firstLine="480" w:firstLineChars="200"/>
        <w:rPr>
          <w:rFonts w:ascii="宋体" w:hAnsi="宋体"/>
          <w:b/>
        </w:rPr>
      </w:pPr>
      <w:r>
        <w:rPr>
          <w:rFonts w:ascii="宋体" w:hAnsi="宋体"/>
          <w:b/>
        </w:rPr>
        <w:t>5</w:t>
      </w:r>
      <w:r>
        <w:rPr>
          <w:rFonts w:ascii="宋体" w:hAnsi="宋体" w:hint="eastAsia"/>
          <w:b/>
        </w:rPr>
        <w:t>.以上分项报价表的投标总价应当与开标一览表的投标总价一致。</w:t>
      </w:r>
    </w:p>
    <w:p>
      <w:pPr>
        <w:ind w:firstLine="480" w:firstLineChars="200"/>
        <w:rPr>
          <w:rFonts w:ascii="宋体" w:hAnsi="宋体"/>
          <w:b/>
        </w:rPr>
      </w:pPr>
      <w:r>
        <w:rPr>
          <w:rFonts w:ascii="宋体" w:hAnsi="宋体"/>
          <w:b/>
        </w:rPr>
        <w:t>6</w:t>
      </w:r>
      <w:r>
        <w:rPr>
          <w:rFonts w:ascii="宋体" w:hAnsi="宋体" w:hint="eastAsia"/>
          <w:b/>
        </w:rPr>
        <w:t>.单价、合价和投标总价为包干价，即三者均应包含货物的价款、包装、运输、装卸、安装、调试、技术指导、培训、咨询、服务、保险、税费、检测、验收合格交付使用之前以及技术和售后服务等其他各项有关费用。（若招标文件商务要求中对于报价有要求的以商务要求中的条款为准）</w:t>
      </w:r>
    </w:p>
    <w:p>
      <w:pPr>
        <w:ind w:firstLine="480" w:firstLineChars="200"/>
        <w:rPr>
          <w:rFonts w:ascii="宋体" w:hAnsi="宋体"/>
          <w:b/>
        </w:rPr>
      </w:pPr>
      <w:r>
        <w:rPr>
          <w:rFonts w:ascii="宋体" w:hAnsi="宋体"/>
          <w:b/>
        </w:rPr>
        <w:t>7</w:t>
      </w:r>
      <w:r>
        <w:rPr>
          <w:rFonts w:ascii="宋体" w:hAnsi="宋体" w:hint="eastAsia"/>
          <w:b/>
        </w:rPr>
        <w:t>.所有价格应按“招标文件”中规定的货币单位填写；投标总价应为以上各分项价格之和；投标总价和项目报价表中单个采购预算条目报价均不得超过对应的财政预算限额，否则将导致投标无效。</w:t>
      </w:r>
    </w:p>
    <w:p>
      <w:pPr>
        <w:tabs>
          <w:tab w:val="left" w:pos="720"/>
        </w:tabs>
        <w:jc w:val="center"/>
        <w:rPr>
          <w:b/>
        </w:rPr>
      </w:pPr>
    </w:p>
    <w:p>
      <w:pPr>
        <w:tabs>
          <w:tab w:val="left" w:pos="720"/>
        </w:tabs>
        <w:jc w:val="center"/>
        <w:rPr>
          <w:b/>
        </w:rPr>
      </w:pPr>
    </w:p>
    <w:p>
      <w:pPr>
        <w:tabs>
          <w:tab w:val="left" w:pos="720"/>
        </w:tabs>
        <w:jc w:val="center"/>
        <w:rPr>
          <w:b/>
        </w:rPr>
      </w:pPr>
      <w:r>
        <w:rPr>
          <w:rFonts w:hint="eastAsia"/>
          <w:b/>
        </w:rPr>
        <w:t>（二）核心产品品牌</w:t>
      </w:r>
    </w:p>
    <w:p>
      <w:pPr>
        <w:ind w:firstLine="480" w:firstLineChars="200"/>
        <w:rPr>
          <w:rFonts w:ascii="宋体" w:hAnsi="宋体"/>
          <w:b/>
          <w:color w:val="FF0000"/>
        </w:rPr>
      </w:pPr>
    </w:p>
    <w:p>
      <w:pPr>
        <w:ind w:firstLine="480" w:firstLineChars="200"/>
        <w:rPr>
          <w:rFonts w:ascii="宋体" w:hAnsi="宋体"/>
          <w:b/>
        </w:rPr>
      </w:pPr>
      <w:r>
        <w:rPr>
          <w:rFonts w:hint="eastAsia"/>
          <w:b/>
        </w:rPr>
        <w:t>我单位所投核心产品的品牌为：</w:t>
      </w:r>
      <w:r>
        <w:rPr>
          <w:rFonts w:hint="eastAsia"/>
          <w:b/>
          <w:bCs/>
          <w:szCs w:val="21"/>
          <w:u w:val="thick"/>
        </w:rPr>
        <w:tab/>
      </w:r>
      <w:r>
        <w:rPr>
          <w:rFonts w:hint="eastAsia"/>
          <w:b/>
          <w:bCs/>
          <w:szCs w:val="21"/>
          <w:u w:val="thick"/>
        </w:rPr>
        <w:tab/>
      </w:r>
      <w:r>
        <w:rPr>
          <w:rFonts w:hint="eastAsia"/>
          <w:b/>
          <w:bCs/>
          <w:szCs w:val="21"/>
          <w:u w:val="thick"/>
        </w:rPr>
        <w:tab/>
      </w:r>
      <w:r>
        <w:rPr>
          <w:rFonts w:hint="eastAsia"/>
          <w:b/>
          <w:bCs/>
          <w:szCs w:val="21"/>
          <w:u w:val="thick"/>
        </w:rPr>
        <w:tab/>
      </w:r>
      <w:r>
        <w:rPr>
          <w:rFonts w:hint="eastAsia"/>
          <w:b/>
        </w:rPr>
        <w:t>。</w:t>
      </w:r>
    </w:p>
    <w:p>
      <w:pPr>
        <w:ind w:firstLine="480" w:firstLineChars="200"/>
        <w:rPr>
          <w:rFonts w:ascii="宋体" w:hAnsi="宋体"/>
          <w:b/>
          <w:color w:val="FF0000"/>
        </w:rPr>
      </w:pPr>
    </w:p>
    <w:p>
      <w:pPr>
        <w:ind w:firstLine="480" w:firstLineChars="200"/>
        <w:rPr>
          <w:rFonts w:ascii="宋体" w:hAnsi="宋体"/>
          <w:b/>
          <w:bCs/>
        </w:rPr>
      </w:pPr>
      <w:r>
        <w:rPr>
          <w:rFonts w:ascii="宋体" w:hAnsi="宋体" w:hint="eastAsia"/>
        </w:rPr>
        <w:t>备注：</w:t>
      </w:r>
      <w:r>
        <w:rPr>
          <w:rFonts w:ascii="宋体" w:hAnsi="宋体" w:hint="eastAsia"/>
          <w:b/>
          <w:bCs/>
        </w:rPr>
        <w:t>招标文件未列明核心产品的，无需填写该项。</w:t>
      </w:r>
    </w:p>
    <w:p>
      <w:pPr>
        <w:pStyle w:val="BodyText"/>
      </w:pPr>
    </w:p>
    <w:p>
      <w:pPr>
        <w:rPr>
          <w:b/>
        </w:rPr>
      </w:pPr>
    </w:p>
    <w:p>
      <w:pPr>
        <w:tabs>
          <w:tab w:val="left" w:pos="720"/>
        </w:tabs>
        <w:ind w:firstLine="1920" w:firstLineChars="800"/>
        <w:rPr>
          <w:b/>
        </w:rPr>
      </w:pPr>
      <w:r>
        <w:rPr>
          <w:rFonts w:hint="eastAsia"/>
          <w:b/>
        </w:rPr>
        <w:t>（三）可选配件报价清单（不包括在总报价内）</w:t>
      </w:r>
    </w:p>
    <w:p>
      <w:pPr>
        <w:ind w:firstLine="480" w:firstLineChars="200"/>
        <w:rPr>
          <w:rFonts w:hAnsi="宋体"/>
          <w:b/>
          <w:bCs/>
          <w:szCs w:val="21"/>
        </w:rPr>
      </w:pPr>
      <w:r>
        <w:rPr>
          <w:rFonts w:hAnsi="宋体" w:hint="eastAsia"/>
          <w:b/>
          <w:bCs/>
          <w:szCs w:val="21"/>
        </w:rPr>
        <w:t>注：格式可以参照《（一）分项报价表》表格，并提供相应的品牌/规格/型号、原产地、制造商信息（没有品牌、型号的，用“定制”描述即可）、单价等详细信息</w:t>
      </w:r>
    </w:p>
    <w:p>
      <w:pPr>
        <w:ind w:firstLine="480" w:firstLineChars="200"/>
        <w:rPr>
          <w:rFonts w:hAnsi="宋体"/>
          <w:b/>
          <w:bCs/>
        </w:rPr>
      </w:pPr>
    </w:p>
    <w:p>
      <w:pPr>
        <w:ind w:firstLine="480" w:firstLineChars="200"/>
        <w:rPr>
          <w:rFonts w:hAnsi="宋体"/>
          <w:b/>
          <w:bCs/>
        </w:rPr>
      </w:pPr>
    </w:p>
    <w:p>
      <w:pPr>
        <w:numPr>
          <w:ilvl w:val="0"/>
          <w:numId w:val="3"/>
        </w:numPr>
        <w:tabs>
          <w:tab w:val="left" w:pos="720"/>
        </w:tabs>
        <w:jc w:val="center"/>
        <w:rPr>
          <w:b/>
        </w:rPr>
      </w:pPr>
      <w:r>
        <w:rPr>
          <w:rFonts w:hint="eastAsia"/>
          <w:b/>
        </w:rPr>
        <w:t>投标人认为需要涉及的其他内容报价清单</w:t>
      </w:r>
    </w:p>
    <w:p>
      <w:pPr>
        <w:pStyle w:val="BodyText2"/>
        <w:rPr>
          <w:b/>
          <w:bCs/>
          <w:color w:val="FF0000"/>
        </w:rPr>
      </w:pPr>
    </w:p>
    <w:p>
      <w:pPr>
        <w:rPr>
          <w:b/>
          <w:bCs/>
          <w:color w:val="FF0000"/>
        </w:rPr>
      </w:pPr>
    </w:p>
    <w:p>
      <w:pPr>
        <w:pStyle w:val="Heading4"/>
        <w:jc w:val="center"/>
        <w:rPr>
          <w:rFonts w:ascii="黑体"/>
          <w:b w:val="0"/>
          <w:sz w:val="24"/>
          <w:szCs w:val="24"/>
        </w:rPr>
      </w:pPr>
      <w:bookmarkStart w:id="49" w:name="_Hlk72257908"/>
      <w:r>
        <w:rPr>
          <w:rFonts w:ascii="黑体" w:hint="eastAsia"/>
          <w:b w:val="0"/>
          <w:sz w:val="24"/>
          <w:szCs w:val="24"/>
        </w:rPr>
        <w:t>五、中小企业声明函、残疾人福利性单位声明函及监狱企业声明函（可选）</w:t>
      </w:r>
    </w:p>
    <w:p>
      <w:pPr>
        <w:rPr>
          <w:color w:val="FF0000"/>
        </w:rPr>
      </w:pPr>
      <w:bookmarkEnd w:id="48"/>
      <w:r>
        <w:rPr>
          <w:rFonts w:hint="eastAsia"/>
          <w:color w:val="FF0000"/>
        </w:rPr>
        <w:t>填写指引：</w:t>
      </w:r>
    </w:p>
    <w:p>
      <w:pPr>
        <w:rPr>
          <w:color w:val="FF0000"/>
        </w:rPr>
      </w:pPr>
      <w:r>
        <w:rPr>
          <w:rFonts w:hint="eastAsia"/>
          <w:color w:val="FF0000"/>
        </w:rPr>
        <w:t>1、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pPr>
        <w:rPr>
          <w:color w:val="FF0000"/>
        </w:rPr>
      </w:pPr>
      <w:r>
        <w:rPr>
          <w:rFonts w:hint="eastAsia"/>
          <w:color w:val="FF0000"/>
        </w:rPr>
        <w:t>2、该部分内容填写需要参考的相关文件：</w:t>
      </w:r>
      <w:r>
        <w:rPr>
          <w:rFonts w:eastAsia="宋体" w:hint="eastAsia"/>
          <w:color w:val="FF0000"/>
          <w:lang w:eastAsia="zh-CN"/>
        </w:rPr>
        <w:t>（</w:t>
      </w:r>
      <w:r>
        <w:rPr>
          <w:color w:val="FF0000"/>
        </w:rPr>
        <w:t>1</w:t>
      </w:r>
      <w:r>
        <w:rPr>
          <w:rFonts w:eastAsia="宋体" w:hint="eastAsia"/>
          <w:color w:val="FF0000"/>
          <w:lang w:eastAsia="zh-CN"/>
        </w:rPr>
        <w:t>）</w:t>
      </w:r>
      <w:r>
        <w:rPr>
          <w:rFonts w:hint="eastAsia"/>
          <w:color w:val="FF0000"/>
        </w:rPr>
        <w:t>财政部《政府采购促进中小企业发展管理办法》（财库〔2020〕46号）；</w:t>
      </w:r>
      <w:r>
        <w:rPr>
          <w:rFonts w:eastAsia="宋体" w:hint="eastAsia"/>
          <w:color w:val="FF0000"/>
          <w:lang w:eastAsia="zh-CN"/>
        </w:rPr>
        <w:t>（</w:t>
      </w:r>
      <w:r>
        <w:rPr>
          <w:color w:val="FF0000"/>
        </w:rPr>
        <w:t>2</w:t>
      </w:r>
      <w:r>
        <w:rPr>
          <w:rFonts w:eastAsia="宋体" w:hint="eastAsia"/>
          <w:color w:val="FF0000"/>
          <w:lang w:eastAsia="zh-CN"/>
        </w:rPr>
        <w:t>）</w:t>
      </w:r>
      <w:bookmarkStart w:id="50" w:name="_Hlk71925120"/>
      <w:r>
        <w:rPr>
          <w:rFonts w:hint="eastAsia"/>
          <w:color w:val="FF0000"/>
        </w:rPr>
        <w:t>《工业和信息化部、国家统计局、国家发展和改革委员会、财政部关于印发中小企业划型标准规定的通知》（工信部联企业〔2011〕300 号</w:t>
      </w:r>
      <w:bookmarkEnd w:id="50"/>
      <w:r>
        <w:rPr>
          <w:rFonts w:hint="eastAsia"/>
          <w:color w:val="FF0000"/>
        </w:rPr>
        <w:t>，以下简称3</w:t>
      </w:r>
      <w:r>
        <w:rPr>
          <w:color w:val="FF0000"/>
        </w:rPr>
        <w:t>00</w:t>
      </w:r>
      <w:r>
        <w:rPr>
          <w:rFonts w:hint="eastAsia"/>
          <w:color w:val="FF0000"/>
        </w:rPr>
        <w:t>号文）。</w:t>
      </w:r>
    </w:p>
    <w:p>
      <w:pPr>
        <w:rPr>
          <w:color w:val="FF0000"/>
        </w:rPr>
      </w:pPr>
      <w:r>
        <w:rPr>
          <w:rFonts w:hint="eastAsia"/>
          <w:color w:val="FF0000"/>
        </w:rPr>
        <w:t>3、请依照提供的格式和内容填写声明函，不要随意变更格式；声明函不需要盖章或签字；满足多项优惠政策的投标人，不重复享受多项价格扣除政策。</w:t>
      </w:r>
    </w:p>
    <w:p>
      <w:pPr>
        <w:rPr>
          <w:color w:val="FF0000"/>
        </w:rPr>
      </w:pPr>
      <w:r>
        <w:rPr>
          <w:rFonts w:hint="eastAsia"/>
          <w:color w:val="FF0000"/>
        </w:rPr>
        <w:t>4、声明函具体填写要求：</w:t>
      </w:r>
    </w:p>
    <w:p>
      <w:pPr>
        <w:rPr>
          <w:color w:val="FF0000"/>
        </w:rPr>
      </w:pPr>
      <w:r>
        <w:rPr>
          <w:rFonts w:hint="eastAsia"/>
          <w:color w:val="FF0000"/>
        </w:rPr>
        <w:t>（1）声明是中小企业须填写《中小企业声明函》的以下内容：</w:t>
      </w:r>
    </w:p>
    <w:p>
      <w:pPr>
        <w:rPr>
          <w:color w:val="FF0000"/>
        </w:rPr>
      </w:pPr>
      <w:r>
        <w:rPr>
          <w:rFonts w:hint="eastAsia"/>
          <w:color w:val="FF0000"/>
        </w:rPr>
        <w:t>第一处，在“单位名称”下划线处如实填写采购人名称（深圳公共资源交易中心不是本项目的采购人，而是组织实施机构）；</w:t>
      </w:r>
    </w:p>
    <w:p>
      <w:pPr>
        <w:rPr>
          <w:color w:val="FF0000"/>
        </w:rPr>
      </w:pPr>
      <w:r>
        <w:rPr>
          <w:rFonts w:hint="eastAsia"/>
          <w:color w:val="FF0000"/>
        </w:rPr>
        <w:t>第二处，在“项目名称”下划线处如实填写采购项目名称；</w:t>
      </w:r>
    </w:p>
    <w:p>
      <w:pPr>
        <w:rPr>
          <w:color w:val="FF0000"/>
        </w:rPr>
      </w:pPr>
      <w:r>
        <w:rPr>
          <w:rFonts w:hint="eastAsia"/>
          <w:color w:val="FF0000"/>
        </w:rPr>
        <w:t>第三处，在“标的名称”下划线处填写所采购货物（标的）的具体名称（以招标文件第一册第三章用户需求书“货物清单明细”的“货物名称”一栏为准）；如果涉及多项货物（标的）为同一企业制造，“标的名称”下划线处可以如实填写多项货物；</w:t>
      </w:r>
    </w:p>
    <w:p>
      <w:pPr>
        <w:rPr>
          <w:color w:val="FF0000"/>
        </w:rPr>
      </w:pPr>
      <w:r>
        <w:rPr>
          <w:rFonts w:hint="eastAsia"/>
          <w:color w:val="FF0000"/>
        </w:rPr>
        <w:t>第四处，在“招标文件中明确的所属行业”下划线处填写采购标的对应的中小企业划分标准所属行业（所属行业可在招标文件第一册第二章“对通用条款的补充内容及其他关键信息”章节查看）；</w:t>
      </w:r>
    </w:p>
    <w:p>
      <w:pPr>
        <w:rPr>
          <w:color w:val="FF0000"/>
        </w:rPr>
      </w:pPr>
      <w:r>
        <w:rPr>
          <w:rFonts w:hint="eastAsia"/>
          <w:color w:val="FF0000"/>
        </w:rPr>
        <w:t>第五处，在“企业名称”下划线处如实填写制造商名称；在“从业人员</w:t>
      </w:r>
      <w:r>
        <w:rPr>
          <w:rFonts w:eastAsia="宋体" w:hint="eastAsia"/>
          <w:color w:val="FF0000"/>
          <w:lang w:eastAsia="zh-CN"/>
        </w:rPr>
        <w:t>”“</w:t>
      </w:r>
      <w:r>
        <w:rPr>
          <w:rFonts w:hint="eastAsia"/>
          <w:color w:val="FF0000"/>
        </w:rPr>
        <w:t>营业收入</w:t>
      </w:r>
      <w:r>
        <w:rPr>
          <w:rFonts w:eastAsia="宋体" w:hint="eastAsia"/>
          <w:color w:val="FF0000"/>
          <w:lang w:eastAsia="zh-CN"/>
        </w:rPr>
        <w:t>”“</w:t>
      </w:r>
      <w:r>
        <w:rPr>
          <w:rFonts w:hint="eastAsia"/>
          <w:color w:val="FF0000"/>
        </w:rPr>
        <w:t>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w:t>
      </w:r>
    </w:p>
    <w:p>
      <w:pPr>
        <w:rPr>
          <w:color w:val="FF0000"/>
        </w:rPr>
      </w:pPr>
      <w:r>
        <w:rPr>
          <w:rFonts w:hint="eastAsia"/>
          <w:color w:val="FF0000"/>
        </w:rPr>
        <w:t>（2）声明是残疾人福利性单位须填写《残疾人福利性单位声明函》的相关内容，具体参照以上《中小企业声明函》填写要求执行。</w:t>
      </w:r>
    </w:p>
    <w:p>
      <w:pPr>
        <w:rPr>
          <w:color w:val="FF0000"/>
        </w:rPr>
      </w:pPr>
      <w:r>
        <w:rPr>
          <w:rFonts w:hint="eastAsia"/>
          <w:color w:val="FF0000"/>
        </w:rPr>
        <w:t>（3）声明是监狱企业须填写《监狱企业声明函》的三项内容（填写位置的字体已加粗），具体参照以上《中小企业声明函》填写要求执行。</w:t>
      </w:r>
    </w:p>
    <w:p>
      <w:r>
        <w:rPr>
          <w:rFonts w:hint="eastAsia"/>
          <w:color w:val="FF0000"/>
        </w:rPr>
        <w:t>5、声明函的有效性最终由评审委员会判定；如评审委员会判定声明函无效，相关供应商不享受价格扣除（但不作投标无效处理）。</w:t>
      </w:r>
    </w:p>
    <w:p>
      <w:pPr>
        <w:ind w:firstLine="480" w:firstLineChars="200"/>
      </w:pPr>
    </w:p>
    <w:p>
      <w:pPr>
        <w:jc w:val="center"/>
        <w:rPr>
          <w:b/>
        </w:rPr>
      </w:pPr>
      <w:r>
        <w:rPr>
          <w:rFonts w:hint="eastAsia"/>
          <w:b/>
        </w:rPr>
        <w:t>1、</w:t>
      </w:r>
      <w:r>
        <w:rPr>
          <w:b/>
        </w:rPr>
        <w:t xml:space="preserve">中小企业声明函（货物） </w:t>
      </w:r>
    </w:p>
    <w:p>
      <w:pPr>
        <w:ind w:firstLine="480" w:firstLineChars="200"/>
        <w:rPr>
          <w:rFonts w:ascii="宋体" w:hAnsi="宋体"/>
          <w:szCs w:val="21"/>
        </w:rPr>
      </w:pPr>
      <w:r>
        <w:rPr>
          <w:rFonts w:ascii="宋体" w:hAnsi="宋体" w:cs="Times New Roman"/>
          <w:szCs w:val="21"/>
        </w:rPr>
        <w:t>本</w:t>
      </w:r>
      <w:r>
        <w:rPr>
          <w:rFonts w:ascii="宋体" w:hAnsi="宋体" w:cs="Times New Roman" w:hint="eastAsia"/>
          <w:szCs w:val="21"/>
        </w:rPr>
        <w:t>投标人</w:t>
      </w:r>
      <w:r>
        <w:rPr>
          <w:rFonts w:ascii="宋体" w:hAnsi="宋体" w:cs="Times New Roman"/>
          <w:szCs w:val="21"/>
        </w:rPr>
        <w:t>郑重声明，根据《政府采购促进中小企业发展管理办法》（财库</w:t>
      </w:r>
      <w:r>
        <w:rPr>
          <w:rFonts w:ascii="宋体" w:hAnsi="宋体" w:cs="微软雅黑" w:hint="eastAsia"/>
          <w:szCs w:val="21"/>
        </w:rPr>
        <w:t>﹝</w:t>
      </w:r>
      <w:r>
        <w:rPr>
          <w:rFonts w:ascii="宋体" w:hAnsi="宋体" w:cs="Times New Roman"/>
          <w:szCs w:val="21"/>
        </w:rPr>
        <w:t>2020</w:t>
      </w:r>
      <w:r>
        <w:rPr>
          <w:rFonts w:ascii="宋体" w:hAnsi="宋体" w:cs="微软雅黑" w:hint="eastAsia"/>
          <w:szCs w:val="21"/>
        </w:rPr>
        <w:t>﹞</w:t>
      </w:r>
      <w:r>
        <w:rPr>
          <w:rFonts w:ascii="宋体" w:hAnsi="宋体" w:cs="Times New Roman"/>
          <w:szCs w:val="21"/>
        </w:rPr>
        <w:t>46 号）的规定，本</w:t>
      </w:r>
      <w:r>
        <w:rPr>
          <w:rFonts w:ascii="宋体" w:hAnsi="宋体" w:cs="Times New Roman" w:hint="eastAsia"/>
          <w:szCs w:val="21"/>
        </w:rPr>
        <w:t>投标人</w:t>
      </w:r>
      <w:r>
        <w:rPr>
          <w:rFonts w:ascii="宋体" w:hAnsi="宋体" w:cs="Times New Roman"/>
          <w:szCs w:val="21"/>
        </w:rPr>
        <w:t>参加</w:t>
      </w:r>
      <w:r>
        <w:rPr>
          <w:rFonts w:ascii="宋体" w:hAnsi="宋体"/>
          <w:b/>
          <w:bCs/>
          <w:szCs w:val="21"/>
          <w:u w:val="single"/>
        </w:rPr>
        <w:t>（</w:t>
      </w:r>
      <w:r>
        <w:rPr>
          <w:rFonts w:ascii="宋体" w:hAnsi="宋体" w:hint="eastAsia"/>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采购活动，提供的货物全部由符合政策要求的中小企业制造。相关企业的具体情况如下：</w:t>
      </w:r>
    </w:p>
    <w:p>
      <w:pPr>
        <w:ind w:firstLine="480" w:firstLineChars="200"/>
        <w:rPr>
          <w:rFonts w:ascii="宋体" w:hAnsi="宋体"/>
          <w:szCs w:val="21"/>
        </w:rPr>
      </w:pPr>
      <w:r>
        <w:rPr>
          <w:rFonts w:ascii="宋体" w:hAnsi="宋体"/>
          <w:szCs w:val="21"/>
        </w:rPr>
        <w:t>1.</w:t>
      </w:r>
      <w:r>
        <w:rPr>
          <w:rFonts w:ascii="宋体" w:hAnsi="宋体"/>
          <w:b/>
          <w:bCs/>
          <w:szCs w:val="21"/>
          <w:u w:val="single"/>
        </w:rPr>
        <w:t xml:space="preserve"> （标的名称）</w:t>
      </w:r>
      <w:r>
        <w:rPr>
          <w:rFonts w:ascii="宋体" w:hAnsi="宋体"/>
          <w:szCs w:val="21"/>
        </w:rPr>
        <w:t xml:space="preserve"> ，属于</w:t>
      </w:r>
      <w:r>
        <w:rPr>
          <w:rFonts w:ascii="宋体" w:hAnsi="宋体"/>
          <w:b/>
          <w:bCs/>
          <w:szCs w:val="21"/>
          <w:u w:val="single"/>
        </w:rPr>
        <w:t>（</w:t>
      </w:r>
      <w:r>
        <w:rPr>
          <w:rFonts w:ascii="宋体" w:hAnsi="宋体" w:hint="eastAsia"/>
          <w:b/>
          <w:bCs/>
          <w:szCs w:val="21"/>
          <w:u w:val="single"/>
        </w:rPr>
        <w:t>招标</w:t>
      </w:r>
      <w:r>
        <w:rPr>
          <w:rFonts w:ascii="宋体" w:hAnsi="宋体"/>
          <w:b/>
          <w:bCs/>
          <w:szCs w:val="21"/>
          <w:u w:val="single"/>
        </w:rPr>
        <w:t xml:space="preserve">文件中明确的所属行业） </w:t>
      </w:r>
      <w:r>
        <w:rPr>
          <w:rFonts w:ascii="宋体" w:hAnsi="宋体"/>
          <w:szCs w:val="21"/>
        </w:rPr>
        <w:t>行业；制造商为</w:t>
      </w:r>
      <w:r>
        <w:rPr>
          <w:rFonts w:ascii="宋体" w:hAnsi="宋体"/>
          <w:b/>
          <w:bCs/>
          <w:szCs w:val="21"/>
          <w:u w:val="single"/>
        </w:rPr>
        <w:t>（企业名称）</w:t>
      </w:r>
      <w:r>
        <w:rPr>
          <w:rFonts w:ascii="宋体" w:hAnsi="宋体"/>
          <w:szCs w:val="21"/>
        </w:rPr>
        <w:t>，从业人员人，营业收入为万元，资产总额为万元 ，属于</w:t>
      </w:r>
      <w:r>
        <w:rPr>
          <w:rFonts w:ascii="宋体" w:hAnsi="宋体"/>
          <w:b/>
          <w:bCs/>
          <w:szCs w:val="21"/>
          <w:u w:val="single"/>
        </w:rPr>
        <w:t>（中型企业、小型企业、微型企业）</w:t>
      </w:r>
      <w:r>
        <w:rPr>
          <w:rFonts w:ascii="宋体" w:hAnsi="宋体"/>
          <w:szCs w:val="21"/>
        </w:rPr>
        <w:t xml:space="preserve">； </w:t>
      </w:r>
    </w:p>
    <w:p>
      <w:pPr>
        <w:ind w:firstLine="480" w:firstLineChars="200"/>
        <w:rPr>
          <w:rFonts w:ascii="宋体" w:hAnsi="宋体"/>
          <w:szCs w:val="21"/>
          <w:u w:val="single"/>
        </w:rPr>
      </w:pPr>
      <w:r>
        <w:rPr>
          <w:rFonts w:ascii="宋体" w:hAnsi="宋体"/>
          <w:szCs w:val="21"/>
        </w:rPr>
        <w:t>2.</w:t>
      </w:r>
      <w:r>
        <w:rPr>
          <w:rFonts w:ascii="宋体" w:hAnsi="宋体"/>
          <w:b/>
          <w:bCs/>
          <w:szCs w:val="21"/>
          <w:u w:val="single"/>
        </w:rPr>
        <w:t xml:space="preserve"> （标的名称）</w:t>
      </w:r>
      <w:r>
        <w:rPr>
          <w:rFonts w:ascii="宋体" w:hAnsi="宋体"/>
          <w:szCs w:val="21"/>
        </w:rPr>
        <w:t xml:space="preserve"> ，属于</w:t>
      </w:r>
      <w:r>
        <w:rPr>
          <w:rFonts w:ascii="宋体" w:hAnsi="宋体"/>
          <w:b/>
          <w:bCs/>
          <w:szCs w:val="21"/>
          <w:u w:val="single"/>
        </w:rPr>
        <w:t>（</w:t>
      </w:r>
      <w:r>
        <w:rPr>
          <w:rFonts w:ascii="宋体" w:hAnsi="宋体" w:hint="eastAsia"/>
          <w:b/>
          <w:bCs/>
          <w:szCs w:val="21"/>
          <w:u w:val="single"/>
        </w:rPr>
        <w:t>招标</w:t>
      </w:r>
      <w:r>
        <w:rPr>
          <w:rFonts w:ascii="宋体" w:hAnsi="宋体"/>
          <w:b/>
          <w:bCs/>
          <w:szCs w:val="21"/>
          <w:u w:val="single"/>
        </w:rPr>
        <w:t xml:space="preserve">文件中明确的所属行业） </w:t>
      </w:r>
      <w:r>
        <w:rPr>
          <w:rFonts w:ascii="宋体" w:hAnsi="宋体"/>
          <w:szCs w:val="21"/>
        </w:rPr>
        <w:t>行业；制造商为</w:t>
      </w:r>
      <w:r>
        <w:rPr>
          <w:rFonts w:ascii="宋体" w:hAnsi="宋体"/>
          <w:b/>
          <w:bCs/>
          <w:szCs w:val="21"/>
          <w:u w:val="single"/>
        </w:rPr>
        <w:t>（企业名称）</w:t>
      </w:r>
      <w:r>
        <w:rPr>
          <w:rFonts w:ascii="宋体" w:hAnsi="宋体"/>
          <w:szCs w:val="21"/>
        </w:rPr>
        <w:t>，从业人员人，营业收入为万元，资产总额为万元 ，属于</w:t>
      </w:r>
      <w:r>
        <w:rPr>
          <w:rFonts w:ascii="宋体" w:hAnsi="宋体"/>
          <w:b/>
          <w:bCs/>
          <w:szCs w:val="21"/>
          <w:u w:val="single"/>
        </w:rPr>
        <w:t>（中型企业、小型企业、微型企业）</w:t>
      </w:r>
      <w:r>
        <w:rPr>
          <w:rFonts w:ascii="宋体" w:hAnsi="宋体" w:hint="eastAsia"/>
          <w:szCs w:val="21"/>
        </w:rPr>
        <w:t>；</w:t>
      </w:r>
    </w:p>
    <w:p>
      <w:pPr>
        <w:ind w:firstLine="480" w:firstLineChars="200"/>
        <w:rPr>
          <w:rFonts w:ascii="宋体" w:hAnsi="宋体"/>
          <w:szCs w:val="21"/>
        </w:rPr>
      </w:pPr>
      <w:r>
        <w:rPr>
          <w:rFonts w:ascii="宋体" w:hAnsi="宋体"/>
          <w:szCs w:val="21"/>
        </w:rPr>
        <w:t xml:space="preserve">…… </w:t>
      </w:r>
    </w:p>
    <w:p>
      <w:pPr>
        <w:ind w:firstLine="480" w:firstLineChars="20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pPr>
        <w:ind w:firstLine="480" w:firstLineChars="200"/>
      </w:pPr>
      <w:bookmarkStart w:id="51" w:name="_Hlk73562203"/>
      <w:r>
        <w:rPr>
          <w:rFonts w:hint="eastAsia"/>
        </w:rPr>
        <w:t>本</w:t>
      </w:r>
      <w:r>
        <w:t>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w:t>
      </w:r>
      <w:r>
        <w:rPr>
          <w:rFonts w:hint="eastAsia"/>
        </w:rPr>
        <w:t>投标人</w:t>
      </w:r>
      <w:r>
        <w:t>按照本办法规定提供声明函内容不实的，属于提供虚假材料谋取中标，依照《政府采购法》等政府采购有关法律法规规定追究相应责任</w:t>
      </w:r>
      <w:r>
        <w:rPr>
          <w:rFonts w:hint="eastAsia"/>
        </w:rPr>
        <w:t>。</w:t>
      </w:r>
      <w:bookmarkEnd w:id="51"/>
    </w:p>
    <w:p>
      <w:pPr>
        <w:pStyle w:val="BodyText2"/>
      </w:pPr>
    </w:p>
    <w:p>
      <w:pPr>
        <w:spacing w:after="60" w:afterLines="25" w:line="300" w:lineRule="auto"/>
        <w:ind w:firstLine="480" w:firstLineChars="200"/>
        <w:rPr>
          <w:rFonts w:ascii="宋体" w:hAnsi="宋体"/>
          <w:color w:val="FF0000"/>
          <w:szCs w:val="21"/>
          <w:highlight w:val="yellow"/>
        </w:rPr>
      </w:pPr>
      <w:r>
        <w:rPr>
          <w:rFonts w:ascii="Arial" w:hAnsi="Arial" w:hint="eastAsia"/>
          <w:b/>
          <w:color w:val="FF0000"/>
          <w:szCs w:val="21"/>
          <w:highlight w:val="yellow"/>
        </w:rPr>
        <w:t>说明：</w:t>
      </w:r>
      <w:r>
        <w:rPr>
          <w:rFonts w:ascii="宋体" w:hAnsi="宋体" w:hint="eastAsia"/>
          <w:color w:val="FF0000"/>
          <w:szCs w:val="21"/>
          <w:highlight w:val="yellow"/>
        </w:rPr>
        <w:t>对中小企业的认定，由货物制造商或者工程、服务供应商注册登记所在地的县级以上人民政府中小企业主管部门负责。</w:t>
      </w:r>
      <w:r>
        <w:rPr>
          <w:rFonts w:ascii="宋体" w:hAnsi="宋体" w:hint="eastAsia"/>
          <w:color w:val="0000FF"/>
          <w:szCs w:val="21"/>
          <w:highlight w:val="yellow"/>
        </w:rPr>
        <w:t>如因供应商提供的《中小企业声明函》引起的质疑、投诉、信访或其他方式情况反映等，供应商须自行澄清，并提供由中小企业主管部门出具的企业划型证明。对于不能出具企业划型证明的供应商，自行承担由此产生的一切后果，包括声明内容视为无效、不享受相关政府采购优惠政策等。</w:t>
      </w:r>
    </w:p>
    <w:p>
      <w:pPr>
        <w:pStyle w:val="BodyText2"/>
      </w:pPr>
    </w:p>
    <w:p>
      <w:pPr>
        <w:jc w:val="center"/>
        <w:rPr>
          <w:b/>
        </w:rPr>
      </w:pPr>
    </w:p>
    <w:p>
      <w:pPr>
        <w:jc w:val="center"/>
        <w:rPr>
          <w:b/>
        </w:rPr>
      </w:pPr>
      <w:r>
        <w:rPr>
          <w:rFonts w:hint="eastAsia"/>
          <w:b/>
        </w:rPr>
        <w:t>2、残疾人福利性单位声明函（货物类）</w:t>
      </w:r>
    </w:p>
    <w:p>
      <w:pPr>
        <w:rPr>
          <w:b/>
          <w:bCs/>
        </w:rPr>
      </w:pPr>
    </w:p>
    <w:p>
      <w:pPr>
        <w:ind w:firstLine="480" w:firstLineChars="200"/>
        <w:rPr>
          <w:rFonts w:ascii="宋体" w:hAnsi="宋体"/>
          <w:szCs w:val="21"/>
        </w:rPr>
      </w:pPr>
      <w:r>
        <w:rPr>
          <w:rFonts w:ascii="宋体" w:hAnsi="宋体" w:cs="Times New Roman"/>
          <w:szCs w:val="21"/>
        </w:rPr>
        <w:t>本</w:t>
      </w:r>
      <w:r>
        <w:rPr>
          <w:rFonts w:ascii="宋体" w:hAnsi="宋体" w:cs="Times New Roman" w:hint="eastAsia"/>
          <w:szCs w:val="21"/>
        </w:rPr>
        <w:t>投标人</w:t>
      </w:r>
      <w:r>
        <w:rPr>
          <w:rFonts w:ascii="宋体" w:hAnsi="宋体" w:hint="eastAsia"/>
          <w:szCs w:val="21"/>
        </w:rPr>
        <w:t>郑重声明，根据《财政部民政部中国残疾人联合会关于促进残疾人就业政府采购政策的通知》（财库〔</w:t>
      </w:r>
      <w:r>
        <w:rPr>
          <w:rFonts w:ascii="宋体" w:hAnsi="宋体"/>
          <w:szCs w:val="21"/>
        </w:rPr>
        <w:t>2017</w:t>
      </w:r>
      <w:r>
        <w:rPr>
          <w:rFonts w:ascii="宋体" w:hAnsi="宋体" w:hint="eastAsia"/>
          <w:szCs w:val="21"/>
        </w:rPr>
        <w:t>〕</w:t>
      </w:r>
      <w:r>
        <w:rPr>
          <w:rFonts w:ascii="宋体" w:hAnsi="宋体"/>
          <w:szCs w:val="21"/>
        </w:rPr>
        <w:t xml:space="preserve">141 </w:t>
      </w:r>
      <w:r>
        <w:rPr>
          <w:rFonts w:ascii="宋体" w:hAnsi="宋体" w:hint="eastAsia"/>
          <w:szCs w:val="21"/>
        </w:rPr>
        <w:t>号）的规定，本投标人</w:t>
      </w:r>
      <w:r>
        <w:rPr>
          <w:rFonts w:ascii="宋体" w:hAnsi="宋体" w:cs="Times New Roman"/>
          <w:szCs w:val="21"/>
        </w:rPr>
        <w:t>参加</w:t>
      </w:r>
      <w:r>
        <w:rPr>
          <w:rFonts w:ascii="宋体" w:hAnsi="宋体"/>
          <w:b/>
          <w:bCs/>
          <w:szCs w:val="21"/>
          <w:u w:val="single"/>
        </w:rPr>
        <w:t>（</w:t>
      </w:r>
      <w:r>
        <w:rPr>
          <w:rFonts w:ascii="宋体" w:hAnsi="宋体" w:hint="eastAsia"/>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采购活动，提供的货物全部由符合政策要求的</w:t>
      </w:r>
      <w:r>
        <w:rPr>
          <w:rFonts w:ascii="宋体" w:hAnsi="宋体" w:hint="eastAsia"/>
          <w:szCs w:val="21"/>
        </w:rPr>
        <w:t>残疾人福利性单位</w:t>
      </w:r>
      <w:r>
        <w:rPr>
          <w:rFonts w:ascii="宋体" w:hAnsi="宋体"/>
          <w:szCs w:val="21"/>
        </w:rPr>
        <w:t>制造。相关</w:t>
      </w:r>
      <w:r>
        <w:rPr>
          <w:rFonts w:ascii="宋体" w:hAnsi="宋体" w:hint="eastAsia"/>
          <w:szCs w:val="21"/>
        </w:rPr>
        <w:t>残疾人福利性单位</w:t>
      </w:r>
      <w:r>
        <w:rPr>
          <w:rFonts w:ascii="宋体" w:hAnsi="宋体"/>
          <w:szCs w:val="21"/>
        </w:rPr>
        <w:t>的具体情况如下：</w:t>
      </w:r>
    </w:p>
    <w:p>
      <w:pPr>
        <w:ind w:firstLine="480" w:firstLineChars="200"/>
        <w:rPr>
          <w:rFonts w:ascii="宋体" w:hAnsi="宋体"/>
          <w:szCs w:val="21"/>
        </w:rPr>
      </w:pPr>
      <w:r>
        <w:rPr>
          <w:rFonts w:ascii="宋体" w:hAnsi="宋体"/>
          <w:szCs w:val="21"/>
        </w:rPr>
        <w:t>1.</w:t>
      </w:r>
      <w:r>
        <w:rPr>
          <w:rFonts w:ascii="宋体" w:hAnsi="宋体"/>
          <w:b/>
          <w:bCs/>
          <w:szCs w:val="21"/>
          <w:u w:val="single"/>
        </w:rPr>
        <w:t xml:space="preserve"> （标的名称）</w:t>
      </w:r>
      <w:r>
        <w:rPr>
          <w:rFonts w:ascii="宋体" w:hAnsi="宋体" w:hint="eastAsia"/>
          <w:szCs w:val="21"/>
        </w:rPr>
        <w:t>，</w:t>
      </w:r>
      <w:r>
        <w:rPr>
          <w:rFonts w:ascii="宋体" w:hAnsi="宋体"/>
          <w:szCs w:val="21"/>
        </w:rPr>
        <w:t>制造商为</w:t>
      </w:r>
      <w:r>
        <w:rPr>
          <w:rFonts w:ascii="宋体" w:hAnsi="宋体"/>
          <w:b/>
          <w:bCs/>
          <w:szCs w:val="21"/>
          <w:u w:val="single"/>
        </w:rPr>
        <w:t>（</w:t>
      </w:r>
      <w:r>
        <w:rPr>
          <w:rFonts w:ascii="宋体" w:hAnsi="宋体" w:hint="eastAsia"/>
          <w:b/>
          <w:bCs/>
          <w:szCs w:val="21"/>
          <w:u w:val="single"/>
        </w:rPr>
        <w:t>单位</w:t>
      </w:r>
      <w:r>
        <w:rPr>
          <w:rFonts w:ascii="宋体" w:hAnsi="宋体"/>
          <w:b/>
          <w:bCs/>
          <w:szCs w:val="21"/>
          <w:u w:val="single"/>
        </w:rPr>
        <w:t>名称）</w:t>
      </w:r>
      <w:r>
        <w:rPr>
          <w:rFonts w:ascii="宋体" w:hAnsi="宋体"/>
          <w:szCs w:val="21"/>
        </w:rPr>
        <w:t>，属于</w:t>
      </w:r>
      <w:r>
        <w:rPr>
          <w:rFonts w:ascii="宋体" w:hAnsi="宋体" w:hint="eastAsia"/>
          <w:b/>
          <w:bCs/>
          <w:szCs w:val="21"/>
          <w:u w:val="single"/>
        </w:rPr>
        <w:t>残疾人福利性单位</w:t>
      </w:r>
      <w:r>
        <w:rPr>
          <w:rFonts w:ascii="宋体" w:hAnsi="宋体"/>
          <w:szCs w:val="21"/>
        </w:rPr>
        <w:t>；</w:t>
      </w:r>
    </w:p>
    <w:p>
      <w:pPr>
        <w:ind w:firstLine="480" w:firstLineChars="200"/>
        <w:rPr>
          <w:rFonts w:ascii="宋体" w:hAnsi="宋体"/>
          <w:szCs w:val="21"/>
        </w:rPr>
      </w:pPr>
      <w:r>
        <w:rPr>
          <w:rFonts w:ascii="宋体" w:hAnsi="宋体"/>
          <w:szCs w:val="21"/>
        </w:rPr>
        <w:t>2.</w:t>
      </w:r>
      <w:r>
        <w:rPr>
          <w:rFonts w:ascii="宋体" w:hAnsi="宋体"/>
          <w:b/>
          <w:bCs/>
          <w:szCs w:val="21"/>
          <w:u w:val="single"/>
        </w:rPr>
        <w:t xml:space="preserve"> （标的名称）</w:t>
      </w:r>
      <w:r>
        <w:rPr>
          <w:rFonts w:ascii="宋体" w:hAnsi="宋体" w:hint="eastAsia"/>
          <w:szCs w:val="21"/>
        </w:rPr>
        <w:t>，</w:t>
      </w:r>
      <w:r>
        <w:rPr>
          <w:rFonts w:ascii="宋体" w:hAnsi="宋体"/>
          <w:szCs w:val="21"/>
        </w:rPr>
        <w:t>制造商为</w:t>
      </w:r>
      <w:r>
        <w:rPr>
          <w:rFonts w:ascii="宋体" w:hAnsi="宋体"/>
          <w:b/>
          <w:bCs/>
          <w:szCs w:val="21"/>
          <w:u w:val="single"/>
        </w:rPr>
        <w:t>（</w:t>
      </w:r>
      <w:r>
        <w:rPr>
          <w:rFonts w:ascii="宋体" w:hAnsi="宋体" w:hint="eastAsia"/>
          <w:b/>
          <w:bCs/>
          <w:szCs w:val="21"/>
          <w:u w:val="single"/>
        </w:rPr>
        <w:t>单位</w:t>
      </w:r>
      <w:r>
        <w:rPr>
          <w:rFonts w:ascii="宋体" w:hAnsi="宋体"/>
          <w:b/>
          <w:bCs/>
          <w:szCs w:val="21"/>
          <w:u w:val="single"/>
        </w:rPr>
        <w:t>名称）</w:t>
      </w:r>
      <w:r>
        <w:rPr>
          <w:rFonts w:ascii="宋体" w:hAnsi="宋体"/>
          <w:szCs w:val="21"/>
        </w:rPr>
        <w:t>，属于</w:t>
      </w:r>
      <w:r>
        <w:rPr>
          <w:rFonts w:ascii="宋体" w:hAnsi="宋体" w:hint="eastAsia"/>
          <w:b/>
          <w:bCs/>
          <w:szCs w:val="21"/>
          <w:u w:val="single"/>
        </w:rPr>
        <w:t>残疾人福利性单位</w:t>
      </w:r>
      <w:r>
        <w:rPr>
          <w:rFonts w:ascii="宋体" w:hAnsi="宋体" w:hint="eastAsia"/>
          <w:szCs w:val="21"/>
        </w:rPr>
        <w:t>。</w:t>
      </w:r>
    </w:p>
    <w:p>
      <w:pPr>
        <w:ind w:firstLine="480" w:firstLineChars="200"/>
        <w:rPr>
          <w:rFonts w:ascii="宋体" w:hAnsi="宋体"/>
          <w:szCs w:val="21"/>
        </w:rPr>
      </w:pPr>
      <w:r>
        <w:rPr>
          <w:rFonts w:ascii="宋体" w:hAnsi="宋体"/>
          <w:szCs w:val="21"/>
        </w:rPr>
        <w:t xml:space="preserve">…… </w:t>
      </w:r>
    </w:p>
    <w:p>
      <w:pPr>
        <w:ind w:firstLine="480" w:firstLineChars="200"/>
      </w:pPr>
      <w:bookmarkStart w:id="52" w:name="_Hlk73562331"/>
      <w:bookmarkStart w:id="53" w:name="_Hlk73562245"/>
      <w:r>
        <w:rPr>
          <w:rFonts w:hint="eastAsia"/>
        </w:rPr>
        <w:t>本</w:t>
      </w:r>
      <w:r>
        <w:t>投标人</w:t>
      </w:r>
      <w:r>
        <w:rPr>
          <w:rFonts w:hint="eastAsia"/>
        </w:rPr>
        <w:t>已</w:t>
      </w:r>
      <w:r>
        <w:t>知悉</w:t>
      </w:r>
      <w:r>
        <w:rPr>
          <w:rFonts w:hint="eastAsia"/>
        </w:rPr>
        <w:t>《财政部民政部中国残疾人联合会关于促进残疾人就业政府采购政策的通知》（财库〔2017〕141 号）</w:t>
      </w:r>
      <w:r>
        <w:t>的规定，承诺提供的声明函内容是真实的，如提供声明函内容不实，则依法追究相关法律责任</w:t>
      </w:r>
      <w:r>
        <w:rPr>
          <w:rFonts w:hint="eastAsia"/>
        </w:rPr>
        <w:t>。</w:t>
      </w:r>
      <w:bookmarkEnd w:id="52"/>
    </w:p>
    <w:p>
      <w:pPr>
        <w:pStyle w:val="BodyText2"/>
      </w:pPr>
    </w:p>
    <w:p>
      <w:pPr>
        <w:spacing w:after="60" w:afterLines="25" w:line="300" w:lineRule="auto"/>
        <w:ind w:firstLine="480" w:firstLineChars="200"/>
        <w:rPr>
          <w:rFonts w:ascii="宋体" w:hAnsi="宋体"/>
          <w:color w:val="FF0000"/>
          <w:szCs w:val="21"/>
          <w:highlight w:val="yellow"/>
        </w:rPr>
      </w:pPr>
      <w:r>
        <w:rPr>
          <w:rFonts w:ascii="宋体" w:hAnsi="宋体" w:hint="eastAsia"/>
          <w:b/>
          <w:color w:val="FF0000"/>
          <w:szCs w:val="21"/>
          <w:highlight w:val="yellow"/>
        </w:rPr>
        <w:t>说明：</w:t>
      </w:r>
      <w:r>
        <w:rPr>
          <w:rFonts w:ascii="宋体" w:hAnsi="宋体" w:hint="eastAsia"/>
          <w:color w:val="FF0000"/>
          <w:szCs w:val="21"/>
          <w:highlight w:val="yellow"/>
        </w:rPr>
        <w:t>根据财库〔2017〕141号文件的规定</w:t>
      </w:r>
      <w:r>
        <w:rPr>
          <w:rFonts w:ascii="宋体" w:eastAsia="宋体" w:hAnsi="宋体" w:hint="eastAsia"/>
          <w:color w:val="FF0000"/>
          <w:szCs w:val="21"/>
          <w:highlight w:val="yellow"/>
          <w:lang w:eastAsia="zh-CN"/>
        </w:rPr>
        <w:t>，</w:t>
      </w:r>
      <w:r>
        <w:rPr>
          <w:rFonts w:ascii="宋体" w:hAnsi="宋体" w:hint="eastAsia"/>
          <w:color w:val="FF0000"/>
          <w:szCs w:val="21"/>
          <w:highlight w:val="yellow"/>
        </w:rPr>
        <w:t>享受政府采购支持政策的残疾人福利性单位应当同时满足以下条件：</w:t>
      </w:r>
    </w:p>
    <w:p>
      <w:pPr>
        <w:spacing w:after="60" w:afterLines="25" w:line="300" w:lineRule="auto"/>
        <w:ind w:firstLine="480" w:firstLineChars="200"/>
        <w:rPr>
          <w:rFonts w:ascii="宋体" w:hAnsi="宋体"/>
          <w:color w:val="FF0000"/>
          <w:szCs w:val="21"/>
          <w:highlight w:val="yellow"/>
        </w:rPr>
      </w:pPr>
      <w:r>
        <w:rPr>
          <w:rFonts w:ascii="宋体" w:hAnsi="宋体" w:hint="eastAsia"/>
          <w:color w:val="FF0000"/>
          <w:szCs w:val="21"/>
          <w:highlight w:val="yellow"/>
        </w:rPr>
        <w:t>（一）</w:t>
      </w:r>
      <w:r>
        <w:rPr>
          <w:rFonts w:ascii="宋体" w:hAnsi="宋体" w:hint="eastAsia"/>
          <w:b/>
          <w:color w:val="FF0000"/>
          <w:szCs w:val="21"/>
          <w:highlight w:val="yellow"/>
        </w:rPr>
        <w:t>安置的残疾人占本单位在职职工人数的比例不低于25%（含25%），并且安置的残疾人人数不少于10人（含10人）</w:t>
      </w:r>
      <w:r>
        <w:rPr>
          <w:rFonts w:ascii="宋体" w:hAnsi="宋体" w:hint="eastAsia"/>
          <w:color w:val="FF0000"/>
          <w:szCs w:val="21"/>
          <w:highlight w:val="yellow"/>
        </w:rPr>
        <w:t>；</w:t>
      </w:r>
    </w:p>
    <w:p>
      <w:pPr>
        <w:spacing w:after="60" w:afterLines="25" w:line="300" w:lineRule="auto"/>
        <w:ind w:firstLine="480" w:firstLineChars="200"/>
        <w:rPr>
          <w:rFonts w:ascii="宋体" w:hAnsi="宋体"/>
          <w:color w:val="FF0000"/>
          <w:szCs w:val="21"/>
          <w:highlight w:val="yellow"/>
        </w:rPr>
      </w:pPr>
      <w:r>
        <w:rPr>
          <w:rFonts w:ascii="宋体" w:hAnsi="宋体" w:hint="eastAsia"/>
          <w:color w:val="FF0000"/>
          <w:szCs w:val="21"/>
          <w:highlight w:val="yellow"/>
        </w:rPr>
        <w:t>（二）依法与安置的每位残疾人签订了一年以上（含一年）的劳动合同或服务协议；</w:t>
      </w:r>
    </w:p>
    <w:p>
      <w:pPr>
        <w:spacing w:after="60" w:afterLines="25" w:line="300" w:lineRule="auto"/>
        <w:ind w:firstLine="480" w:firstLineChars="200"/>
        <w:rPr>
          <w:rFonts w:ascii="宋体" w:hAnsi="宋体"/>
          <w:color w:val="FF0000"/>
          <w:szCs w:val="21"/>
          <w:highlight w:val="yellow"/>
        </w:rPr>
      </w:pPr>
      <w:r>
        <w:rPr>
          <w:rFonts w:ascii="宋体" w:hAnsi="宋体" w:hint="eastAsia"/>
          <w:color w:val="FF0000"/>
          <w:szCs w:val="21"/>
          <w:highlight w:val="yellow"/>
        </w:rPr>
        <w:t>（三）为安置的每位残疾人按月足额缴纳了基本养老保险、基本医疗保险、失业保险、工伤保险和生育保险等社会保险费；</w:t>
      </w:r>
    </w:p>
    <w:p>
      <w:pPr>
        <w:spacing w:after="60" w:afterLines="25" w:line="300" w:lineRule="auto"/>
        <w:ind w:firstLine="480" w:firstLineChars="200"/>
        <w:rPr>
          <w:rFonts w:ascii="宋体" w:hAnsi="宋体"/>
          <w:color w:val="FF0000"/>
          <w:szCs w:val="21"/>
          <w:highlight w:val="yellow"/>
        </w:rPr>
      </w:pPr>
      <w:r>
        <w:rPr>
          <w:rFonts w:ascii="宋体" w:hAnsi="宋体" w:hint="eastAsia"/>
          <w:color w:val="FF0000"/>
          <w:szCs w:val="21"/>
          <w:highlight w:val="yellow"/>
        </w:rPr>
        <w:t>（四）通过银行等金融机构向安置的每位残疾人，按月支付了不低于单位所在区县适用的经省级人民政府批准的月最低工资标准的工资；</w:t>
      </w:r>
    </w:p>
    <w:p>
      <w:pPr>
        <w:ind w:firstLine="480" w:firstLineChars="200"/>
        <w:rPr>
          <w:rFonts w:ascii="宋体" w:hAnsi="宋体"/>
          <w:color w:val="FF0000"/>
          <w:szCs w:val="21"/>
        </w:rPr>
      </w:pPr>
      <w:r>
        <w:rPr>
          <w:rFonts w:ascii="宋体" w:hAnsi="宋体" w:hint="eastAsia"/>
          <w:color w:val="FF0000"/>
          <w:szCs w:val="21"/>
          <w:highlight w:val="yellow"/>
        </w:rPr>
        <w:t>（五）提供本单位制造的货物、承担的工程或者服务（以下简称产品），或者提供其他残疾人福利性单位制造的货物（不包括使用非残疾人福利性单位注册商标的货物）。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pStyle w:val="BodyText2"/>
      </w:pPr>
    </w:p>
    <w:p>
      <w:pPr>
        <w:ind w:firstLine="480" w:firstLineChars="200"/>
        <w:rPr>
          <w:rFonts w:ascii="宋体" w:hAnsi="宋体"/>
          <w:szCs w:val="21"/>
        </w:rPr>
      </w:pPr>
      <w:bookmarkEnd w:id="53"/>
    </w:p>
    <w:p>
      <w:pPr>
        <w:jc w:val="center"/>
        <w:rPr>
          <w:b/>
        </w:rPr>
      </w:pPr>
      <w:r>
        <w:rPr>
          <w:rFonts w:hint="eastAsia"/>
          <w:b/>
        </w:rPr>
        <w:t>3、监狱企业声明函【货物类，提供监狱企业货物的供应商如需享受优惠政策，还须另行提供省级以上监狱管理局、戒毒管理局（含新疆生产建设兵团）出具的监狱企业证明文件】</w:t>
      </w:r>
    </w:p>
    <w:p>
      <w:pPr>
        <w:ind w:firstLine="480" w:firstLineChars="200"/>
        <w:rPr>
          <w:rFonts w:ascii="宋体" w:hAnsi="宋体"/>
          <w:szCs w:val="21"/>
        </w:rPr>
      </w:pPr>
      <w:r>
        <w:rPr>
          <w:rFonts w:ascii="宋体" w:hAnsi="宋体" w:hint="eastAsia"/>
          <w:szCs w:val="21"/>
        </w:rPr>
        <w:t>本投标人郑重声明，根据《财政部司法部关于政府采购支持监狱企业发展有关问题的通知》（财库〔</w:t>
      </w:r>
      <w:r>
        <w:rPr>
          <w:rFonts w:ascii="宋体" w:hAnsi="宋体"/>
          <w:szCs w:val="21"/>
        </w:rPr>
        <w:t>2014</w:t>
      </w:r>
      <w:r>
        <w:rPr>
          <w:rFonts w:ascii="宋体" w:hAnsi="宋体" w:hint="eastAsia"/>
          <w:szCs w:val="21"/>
        </w:rPr>
        <w:t>〕</w:t>
      </w:r>
      <w:r>
        <w:rPr>
          <w:rFonts w:ascii="宋体" w:hAnsi="宋体"/>
          <w:szCs w:val="21"/>
        </w:rPr>
        <w:t>68</w:t>
      </w:r>
      <w:r>
        <w:rPr>
          <w:rFonts w:ascii="宋体" w:hAnsi="宋体" w:hint="eastAsia"/>
          <w:szCs w:val="21"/>
        </w:rPr>
        <w:t>号）的规定，本投标人</w:t>
      </w:r>
      <w:r>
        <w:rPr>
          <w:rFonts w:ascii="宋体" w:hAnsi="宋体" w:cs="Times New Roman"/>
          <w:szCs w:val="21"/>
        </w:rPr>
        <w:t>参加</w:t>
      </w:r>
      <w:r>
        <w:rPr>
          <w:rFonts w:ascii="宋体" w:hAnsi="宋体"/>
          <w:b/>
          <w:bCs/>
          <w:szCs w:val="21"/>
          <w:u w:val="single"/>
        </w:rPr>
        <w:t>（</w:t>
      </w:r>
      <w:r>
        <w:rPr>
          <w:rFonts w:ascii="宋体" w:hAnsi="宋体" w:hint="eastAsia"/>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采购活动，提供的货物全部由符合政策要求的</w:t>
      </w:r>
      <w:r>
        <w:rPr>
          <w:rFonts w:ascii="宋体" w:hAnsi="宋体" w:hint="eastAsia"/>
          <w:szCs w:val="21"/>
        </w:rPr>
        <w:t>监狱企业</w:t>
      </w:r>
      <w:r>
        <w:rPr>
          <w:rFonts w:ascii="宋体" w:hAnsi="宋体"/>
          <w:szCs w:val="21"/>
        </w:rPr>
        <w:t>制造。相关</w:t>
      </w:r>
      <w:r>
        <w:rPr>
          <w:rFonts w:ascii="宋体" w:hAnsi="宋体" w:hint="eastAsia"/>
          <w:szCs w:val="21"/>
        </w:rPr>
        <w:t>监狱企业</w:t>
      </w:r>
      <w:r>
        <w:rPr>
          <w:rFonts w:ascii="宋体" w:hAnsi="宋体"/>
          <w:szCs w:val="21"/>
        </w:rPr>
        <w:t>的具体情况如下：</w:t>
      </w:r>
    </w:p>
    <w:p>
      <w:pPr>
        <w:ind w:firstLine="480" w:firstLineChars="200"/>
        <w:rPr>
          <w:rFonts w:ascii="宋体" w:hAnsi="宋体"/>
          <w:szCs w:val="21"/>
        </w:rPr>
      </w:pPr>
      <w:r>
        <w:rPr>
          <w:rFonts w:ascii="宋体" w:hAnsi="宋体"/>
          <w:szCs w:val="21"/>
        </w:rPr>
        <w:t>1.</w:t>
      </w:r>
      <w:r>
        <w:rPr>
          <w:rFonts w:ascii="宋体" w:hAnsi="宋体"/>
          <w:b/>
          <w:bCs/>
          <w:szCs w:val="21"/>
          <w:u w:val="single"/>
        </w:rPr>
        <w:t xml:space="preserve"> （标的名称）</w:t>
      </w:r>
      <w:r>
        <w:rPr>
          <w:rFonts w:ascii="宋体" w:hAnsi="宋体" w:hint="eastAsia"/>
          <w:szCs w:val="21"/>
        </w:rPr>
        <w:t>，</w:t>
      </w:r>
      <w:r>
        <w:rPr>
          <w:rFonts w:ascii="宋体" w:hAnsi="宋体"/>
          <w:szCs w:val="21"/>
        </w:rPr>
        <w:t>制造商为</w:t>
      </w:r>
      <w:r>
        <w:rPr>
          <w:rFonts w:ascii="宋体" w:hAnsi="宋体"/>
          <w:b/>
          <w:bCs/>
          <w:szCs w:val="21"/>
          <w:u w:val="single"/>
        </w:rPr>
        <w:t>（</w:t>
      </w:r>
      <w:r>
        <w:rPr>
          <w:rFonts w:ascii="宋体" w:hAnsi="宋体" w:hint="eastAsia"/>
          <w:b/>
          <w:bCs/>
          <w:szCs w:val="21"/>
          <w:u w:val="single"/>
        </w:rPr>
        <w:t>企业</w:t>
      </w:r>
      <w:r>
        <w:rPr>
          <w:rFonts w:ascii="宋体" w:hAnsi="宋体"/>
          <w:b/>
          <w:bCs/>
          <w:szCs w:val="21"/>
          <w:u w:val="single"/>
        </w:rPr>
        <w:t>名称）</w:t>
      </w:r>
      <w:r>
        <w:rPr>
          <w:rFonts w:ascii="宋体" w:hAnsi="宋体"/>
          <w:szCs w:val="21"/>
        </w:rPr>
        <w:t>，属于</w:t>
      </w:r>
      <w:r>
        <w:rPr>
          <w:rFonts w:ascii="宋体" w:hAnsi="宋体" w:hint="eastAsia"/>
          <w:b/>
          <w:bCs/>
          <w:szCs w:val="21"/>
          <w:u w:val="single"/>
        </w:rPr>
        <w:t>监狱企业</w:t>
      </w:r>
      <w:r>
        <w:rPr>
          <w:rFonts w:ascii="宋体" w:hAnsi="宋体"/>
          <w:szCs w:val="21"/>
        </w:rPr>
        <w:t>；</w:t>
      </w:r>
    </w:p>
    <w:p>
      <w:pPr>
        <w:ind w:firstLine="480" w:firstLineChars="200"/>
        <w:rPr>
          <w:rFonts w:ascii="宋体" w:hAnsi="宋体"/>
          <w:szCs w:val="21"/>
        </w:rPr>
      </w:pPr>
      <w:r>
        <w:rPr>
          <w:rFonts w:ascii="宋体" w:hAnsi="宋体"/>
          <w:szCs w:val="21"/>
        </w:rPr>
        <w:t>2.</w:t>
      </w:r>
      <w:r>
        <w:rPr>
          <w:rFonts w:ascii="宋体" w:hAnsi="宋体"/>
          <w:b/>
          <w:bCs/>
          <w:szCs w:val="21"/>
          <w:u w:val="single"/>
        </w:rPr>
        <w:t xml:space="preserve"> （标的名称）</w:t>
      </w:r>
      <w:r>
        <w:rPr>
          <w:rFonts w:ascii="宋体" w:hAnsi="宋体" w:hint="eastAsia"/>
          <w:szCs w:val="21"/>
        </w:rPr>
        <w:t>，</w:t>
      </w:r>
      <w:r>
        <w:rPr>
          <w:rFonts w:ascii="宋体" w:hAnsi="宋体"/>
          <w:szCs w:val="21"/>
        </w:rPr>
        <w:t>制造商为</w:t>
      </w:r>
      <w:r>
        <w:rPr>
          <w:rFonts w:ascii="宋体" w:hAnsi="宋体"/>
          <w:b/>
          <w:bCs/>
          <w:szCs w:val="21"/>
          <w:u w:val="single"/>
        </w:rPr>
        <w:t>（</w:t>
      </w:r>
      <w:r>
        <w:rPr>
          <w:rFonts w:ascii="宋体" w:hAnsi="宋体" w:hint="eastAsia"/>
          <w:b/>
          <w:bCs/>
          <w:szCs w:val="21"/>
          <w:u w:val="single"/>
        </w:rPr>
        <w:t>企业</w:t>
      </w:r>
      <w:r>
        <w:rPr>
          <w:rFonts w:ascii="宋体" w:hAnsi="宋体"/>
          <w:b/>
          <w:bCs/>
          <w:szCs w:val="21"/>
          <w:u w:val="single"/>
        </w:rPr>
        <w:t>名称）</w:t>
      </w:r>
      <w:r>
        <w:rPr>
          <w:rFonts w:ascii="宋体" w:hAnsi="宋体"/>
          <w:szCs w:val="21"/>
        </w:rPr>
        <w:t>，属于</w:t>
      </w:r>
      <w:r>
        <w:rPr>
          <w:rFonts w:ascii="宋体" w:hAnsi="宋体" w:hint="eastAsia"/>
          <w:b/>
          <w:bCs/>
          <w:szCs w:val="21"/>
          <w:u w:val="single"/>
        </w:rPr>
        <w:t>监狱企业</w:t>
      </w:r>
      <w:r>
        <w:rPr>
          <w:rFonts w:ascii="宋体" w:hAnsi="宋体" w:hint="eastAsia"/>
          <w:szCs w:val="21"/>
        </w:rPr>
        <w:t>。</w:t>
      </w:r>
    </w:p>
    <w:p>
      <w:pPr>
        <w:ind w:firstLine="480" w:firstLineChars="200"/>
        <w:rPr>
          <w:rFonts w:ascii="宋体" w:hAnsi="宋体"/>
          <w:szCs w:val="21"/>
        </w:rPr>
      </w:pPr>
      <w:r>
        <w:rPr>
          <w:rFonts w:ascii="宋体" w:hAnsi="宋体"/>
          <w:szCs w:val="21"/>
        </w:rPr>
        <w:t xml:space="preserve">…… </w:t>
      </w:r>
    </w:p>
    <w:p>
      <w:pPr>
        <w:ind w:firstLine="480" w:firstLineChars="200"/>
        <w:rPr>
          <w:rFonts w:ascii="宋体" w:hAnsi="宋体"/>
          <w:szCs w:val="21"/>
        </w:rPr>
      </w:pPr>
      <w:r>
        <w:rPr>
          <w:rFonts w:ascii="宋体" w:hAnsi="宋体" w:cs="Times New Roman"/>
          <w:szCs w:val="21"/>
        </w:rPr>
        <w:t>本</w:t>
      </w:r>
      <w:r>
        <w:rPr>
          <w:rFonts w:ascii="宋体" w:hAnsi="宋体" w:cs="Times New Roman" w:hint="eastAsia"/>
          <w:szCs w:val="21"/>
        </w:rPr>
        <w:t>投标人</w:t>
      </w:r>
      <w:r>
        <w:rPr>
          <w:rFonts w:ascii="宋体" w:hAnsi="宋体"/>
          <w:szCs w:val="21"/>
        </w:rPr>
        <w:t>对上述声明内容的真实性负责。如有虚假，将依法承担相应责任。</w:t>
      </w:r>
    </w:p>
    <w:p>
      <w:pPr>
        <w:ind w:firstLine="480" w:firstLineChars="200"/>
        <w:rPr>
          <w:rFonts w:ascii="宋体" w:hAnsi="宋体"/>
          <w:szCs w:val="21"/>
        </w:rPr>
      </w:pPr>
      <w:r>
        <w:rPr>
          <w:rFonts w:ascii="宋体" w:hAnsi="宋体" w:hint="eastAsia"/>
          <w:szCs w:val="21"/>
        </w:rPr>
        <w:t>附：省级以上监狱管理局、戒毒管理局（含新疆生产建设兵团）出具的监狱企业证明文件。</w:t>
      </w:r>
    </w:p>
    <w:p>
      <w:pPr>
        <w:rPr>
          <w:b/>
          <w:bCs/>
          <w:color w:val="FF0000"/>
        </w:rPr>
      </w:pPr>
      <w:bookmarkEnd w:id="49"/>
    </w:p>
    <w:p>
      <w:pPr>
        <w:pStyle w:val="Heading4"/>
        <w:jc w:val="center"/>
        <w:rPr>
          <w:rFonts w:hint="eastAsia"/>
          <w:b w:val="0"/>
          <w:bCs w:val="0"/>
        </w:rPr>
      </w:pPr>
      <w:r>
        <w:rPr>
          <w:rFonts w:hint="eastAsia"/>
          <w:b w:val="0"/>
          <w:bCs w:val="0"/>
        </w:rPr>
        <w:t>六、投标人自主知识产权产品（创新、设计）情况</w:t>
      </w:r>
    </w:p>
    <w:p>
      <w:pPr>
        <w:pStyle w:val="Heading4"/>
        <w:jc w:val="center"/>
        <w:rPr>
          <w:b w:val="0"/>
          <w:bCs w:val="0"/>
        </w:rPr>
      </w:pPr>
      <w:r>
        <w:rPr>
          <w:rFonts w:hint="eastAsia"/>
          <w:b w:val="0"/>
          <w:bCs w:val="0"/>
          <w:lang w:val="en-US" w:eastAsia="zh-CN"/>
        </w:rPr>
        <w:t>七、</w:t>
      </w:r>
      <w:r>
        <w:rPr>
          <w:rFonts w:hint="eastAsia"/>
          <w:b w:val="0"/>
          <w:bCs w:val="0"/>
        </w:rPr>
        <w:t>投标人荣誉情况</w:t>
      </w:r>
    </w:p>
    <w:p>
      <w:pPr>
        <w:pStyle w:val="Heading4"/>
        <w:jc w:val="center"/>
        <w:rPr>
          <w:b w:val="0"/>
          <w:bCs w:val="0"/>
        </w:rPr>
      </w:pPr>
      <w:r>
        <w:rPr>
          <w:rFonts w:hint="eastAsia"/>
          <w:b w:val="0"/>
          <w:bCs w:val="0"/>
        </w:rPr>
        <w:t>八、</w:t>
      </w:r>
      <w:r>
        <w:rPr>
          <w:b w:val="0"/>
          <w:bCs w:val="0"/>
        </w:rPr>
        <w:t>投标人认为需要加以说明的其他内容</w:t>
      </w:r>
      <w:r>
        <w:rPr>
          <w:rFonts w:hint="eastAsia"/>
          <w:b w:val="0"/>
          <w:bCs w:val="0"/>
        </w:rPr>
        <w:t>（公开）</w:t>
      </w:r>
    </w:p>
    <w:p>
      <w:bookmarkStart w:id="54" w:name="_Hlk72259976"/>
    </w:p>
    <w:p>
      <w:pPr>
        <w:ind w:firstLine="720" w:firstLineChars="300"/>
        <w:rPr>
          <w:b/>
          <w:color w:val="FF0000"/>
        </w:rPr>
      </w:pPr>
      <w:r>
        <w:rPr>
          <w:rFonts w:hint="eastAsia"/>
          <w:b/>
          <w:color w:val="FF0000"/>
        </w:rPr>
        <w:t>（信息公开部分的内容到此为止！以下为信息不公开部分。）</w:t>
      </w:r>
    </w:p>
    <w:p>
      <w:bookmarkEnd w:id="54"/>
      <w:r>
        <w:br w:type="page"/>
      </w:r>
    </w:p>
    <w:p>
      <w:pPr>
        <w:outlineLvl w:val="2"/>
        <w:rPr>
          <w:rFonts w:ascii="宋体" w:hAnsi="宋体"/>
          <w:b/>
          <w:color w:val="FF0000"/>
          <w:sz w:val="28"/>
          <w:szCs w:val="28"/>
        </w:rPr>
      </w:pPr>
      <w:bookmarkStart w:id="55" w:name="_Hlk72260530"/>
      <w:r>
        <w:rPr>
          <w:rFonts w:ascii="宋体" w:hAnsi="宋体" w:hint="eastAsia"/>
          <w:b/>
          <w:color w:val="FF0000"/>
          <w:sz w:val="28"/>
          <w:szCs w:val="28"/>
        </w:rPr>
        <w:t>投标文件附件（信息不公开部分）</w:t>
      </w:r>
    </w:p>
    <w:p>
      <w:pPr>
        <w:pStyle w:val="Heading4"/>
        <w:jc w:val="center"/>
        <w:rPr>
          <w:rFonts w:ascii="黑体"/>
          <w:b w:val="0"/>
          <w:sz w:val="24"/>
        </w:rPr>
      </w:pPr>
      <w:r>
        <w:rPr>
          <w:rFonts w:ascii="黑体" w:hint="eastAsia"/>
          <w:b w:val="0"/>
          <w:sz w:val="24"/>
        </w:rPr>
        <w:t>一、</w:t>
      </w:r>
      <w:bookmarkStart w:id="56" w:name="_Hlk72092499"/>
      <w:r>
        <w:rPr>
          <w:rFonts w:ascii="黑体" w:hint="eastAsia"/>
          <w:b w:val="0"/>
          <w:sz w:val="24"/>
        </w:rPr>
        <w:t>法定代表人（负责人）证明书</w:t>
      </w:r>
      <w:bookmarkEnd w:id="56"/>
    </w:p>
    <w:p/>
    <w:p>
      <w:pPr>
        <w:spacing w:line="360" w:lineRule="auto"/>
        <w:ind w:firstLine="480" w:firstLineChars="200"/>
        <w:rPr>
          <w:szCs w:val="21"/>
        </w:rPr>
      </w:pPr>
      <w:r>
        <w:rPr>
          <w:rFonts w:hint="eastAsia"/>
          <w:szCs w:val="21"/>
          <w:u w:val="single"/>
        </w:rPr>
        <w:t xml:space="preserve">                   </w:t>
      </w:r>
      <w:r>
        <w:rPr>
          <w:rFonts w:hint="eastAsia"/>
          <w:szCs w:val="21"/>
        </w:rPr>
        <w:t xml:space="preserve"> 同志，现任我单位</w:t>
      </w:r>
      <w:r>
        <w:rPr>
          <w:rFonts w:hint="eastAsia"/>
          <w:szCs w:val="21"/>
          <w:u w:val="single"/>
        </w:rPr>
        <w:t xml:space="preserve">                   </w:t>
      </w:r>
      <w:r>
        <w:rPr>
          <w:rFonts w:hint="eastAsia"/>
          <w:szCs w:val="21"/>
        </w:rPr>
        <w:t>职务，为法定代表人（负责人），特此证明。</w:t>
      </w:r>
    </w:p>
    <w:p>
      <w:pPr>
        <w:spacing w:line="360" w:lineRule="auto"/>
        <w:rPr>
          <w:szCs w:val="21"/>
        </w:rPr>
      </w:pPr>
    </w:p>
    <w:p>
      <w:pPr>
        <w:spacing w:line="360" w:lineRule="auto"/>
        <w:rPr>
          <w:szCs w:val="21"/>
        </w:rPr>
      </w:pPr>
      <w:r>
        <w:rPr>
          <w:rFonts w:hint="eastAsia"/>
          <w:szCs w:val="21"/>
        </w:rPr>
        <w:t>说明：1、法定代表人为投标人（企业事业单位、国家机关、社会团体）的主要行政负责人。</w:t>
      </w:r>
    </w:p>
    <w:p>
      <w:pPr>
        <w:rPr>
          <w:szCs w:val="21"/>
        </w:rPr>
      </w:pPr>
      <w:r>
        <w:rPr>
          <w:rFonts w:hint="eastAsia"/>
          <w:szCs w:val="21"/>
        </w:rPr>
        <w:t xml:space="preserve">      2、内容必须填写真实、清楚，涂改无效，不得转让、买卖。</w:t>
      </w:r>
    </w:p>
    <w:p/>
    <w:p>
      <w:pPr>
        <w:ind w:left="630"/>
        <w:rPr>
          <w:rFonts w:ascii="宋体" w:eastAsia="宋体" w:hAnsi="宋体" w:cs="宋体"/>
          <w:b/>
          <w:bCs/>
          <w:color w:val="FF0000"/>
          <w:szCs w:val="21"/>
        </w:rPr>
      </w:pPr>
      <w:r>
        <w:rPr>
          <w:rFonts w:ascii="宋体" w:eastAsia="宋体" w:hAnsi="宋体" w:cs="宋体" w:hint="eastAsia"/>
          <w:b/>
          <w:bCs/>
          <w:color w:val="FF0000"/>
          <w:szCs w:val="21"/>
        </w:rPr>
        <w:t>3、须附上法定代表人身份证双面复印件，未按要求提供的作投标无效处理。</w:t>
      </w:r>
    </w:p>
    <w:p>
      <w:pPr>
        <w:pStyle w:val="BodyText"/>
      </w:pPr>
    </w:p>
    <w:p>
      <w:pPr>
        <w:rPr>
          <w:rFonts w:ascii="宋体" w:eastAsia="宋体" w:hAnsi="宋体" w:cs="宋体"/>
        </w:rPr>
      </w:pPr>
      <w:r>
        <w:rPr>
          <w:rFonts w:ascii="宋体" w:eastAsia="宋体" w:hAnsi="宋体" w:cs="宋体" w:hint="eastAsia"/>
          <w:b/>
          <w:bCs/>
          <w:color w:val="000000"/>
        </w:rPr>
        <w:t>附：法定代表人身份证</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1"/>
        <w:gridCol w:w="426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799"/>
        </w:trPr>
        <w:tc>
          <w:tcPr>
            <w:tcW w:w="4261" w:type="dxa"/>
          </w:tcPr>
          <w:p>
            <w:pPr>
              <w:widowControl w:val="0"/>
              <w:spacing w:line="480" w:lineRule="auto"/>
              <w:jc w:val="both"/>
              <w:rPr>
                <w:rFonts w:ascii="宋体" w:eastAsia="宋体" w:hAnsi="宋体" w:cs="宋体"/>
              </w:rPr>
            </w:pPr>
          </w:p>
        </w:tc>
        <w:tc>
          <w:tcPr>
            <w:tcW w:w="4261" w:type="dxa"/>
          </w:tcPr>
          <w:p>
            <w:pPr>
              <w:widowControl w:val="0"/>
              <w:spacing w:line="480" w:lineRule="auto"/>
              <w:jc w:val="both"/>
              <w:rPr>
                <w:rFonts w:ascii="宋体" w:eastAsia="宋体" w:hAnsi="宋体" w:cs="宋体"/>
              </w:rPr>
            </w:pPr>
          </w:p>
        </w:tc>
      </w:tr>
    </w:tbl>
    <w:p>
      <w:r>
        <w:br w:type="page"/>
      </w:r>
    </w:p>
    <w:p>
      <w:pPr>
        <w:rPr>
          <w:b/>
          <w:bCs/>
        </w:rPr>
      </w:pPr>
    </w:p>
    <w:p>
      <w:pPr>
        <w:pStyle w:val="Heading4"/>
        <w:spacing w:before="120" w:after="120"/>
        <w:jc w:val="center"/>
        <w:rPr>
          <w:rFonts w:ascii="黑体"/>
          <w:b w:val="0"/>
          <w:sz w:val="24"/>
        </w:rPr>
      </w:pPr>
      <w:r>
        <w:rPr>
          <w:rFonts w:ascii="黑体" w:hint="eastAsia"/>
          <w:b w:val="0"/>
          <w:sz w:val="24"/>
        </w:rPr>
        <w:t>二、投标文件签署授权委托书</w:t>
      </w:r>
    </w:p>
    <w:p>
      <w:pPr>
        <w:spacing w:line="360" w:lineRule="auto"/>
        <w:ind w:firstLine="480" w:firstLineChars="200"/>
        <w:rPr>
          <w:szCs w:val="21"/>
        </w:rPr>
      </w:pPr>
      <w:r>
        <w:rPr>
          <w:rFonts w:hint="eastAsia"/>
          <w:szCs w:val="21"/>
        </w:rPr>
        <w:t>本授权委托书声明：我（姓名）</w:t>
      </w:r>
      <w:r>
        <w:rPr>
          <w:rFonts w:hint="eastAsia"/>
          <w:szCs w:val="21"/>
          <w:u w:val="single"/>
        </w:rPr>
        <w:t xml:space="preserve">                   </w:t>
      </w:r>
      <w:r>
        <w:rPr>
          <w:rFonts w:hint="eastAsia"/>
          <w:szCs w:val="21"/>
        </w:rPr>
        <w:t xml:space="preserve"> 系（投标人名称）</w:t>
      </w:r>
      <w:r>
        <w:rPr>
          <w:rFonts w:hint="eastAsia"/>
          <w:szCs w:val="21"/>
          <w:u w:val="single"/>
        </w:rPr>
        <w:t xml:space="preserve">                                    </w:t>
      </w:r>
      <w:r>
        <w:rPr>
          <w:rFonts w:hint="eastAsia"/>
          <w:szCs w:val="21"/>
        </w:rPr>
        <w:t xml:space="preserve">  的法定代表人（负责人），现授权委托（姓名）</w:t>
      </w:r>
      <w:r>
        <w:rPr>
          <w:szCs w:val="21"/>
          <w:u w:val="single"/>
        </w:rPr>
        <w:t xml:space="preserve">                   </w:t>
      </w:r>
      <w:r>
        <w:rPr>
          <w:rFonts w:hint="eastAsia"/>
          <w:szCs w:val="21"/>
        </w:rPr>
        <w:t>为我单位签署本项目已递交的投标文件的法定代表人（负责人）的授权委托代理人，代理人全权代表我所签署的本项目已递交的投标文件内容我均承认。</w:t>
      </w:r>
    </w:p>
    <w:p>
      <w:pPr>
        <w:pStyle w:val="NormalIndent"/>
        <w:spacing w:line="360" w:lineRule="auto"/>
        <w:rPr>
          <w:szCs w:val="21"/>
        </w:rPr>
      </w:pPr>
      <w:r>
        <w:rPr>
          <w:rFonts w:hint="eastAsia"/>
          <w:szCs w:val="21"/>
        </w:rPr>
        <w:t>代理人无转委托权，特此委托。</w:t>
      </w:r>
    </w:p>
    <w:p>
      <w:pPr>
        <w:spacing w:line="360" w:lineRule="auto"/>
        <w:ind w:left="617" w:leftChars="257"/>
        <w:rPr>
          <w:szCs w:val="21"/>
          <w:u w:val="single"/>
        </w:rPr>
      </w:pPr>
      <w:r>
        <w:rPr>
          <w:rFonts w:hint="eastAsia"/>
          <w:szCs w:val="21"/>
        </w:rPr>
        <w:t>代理人：</w:t>
      </w:r>
      <w:r>
        <w:rPr>
          <w:rFonts w:hint="eastAsia"/>
          <w:szCs w:val="21"/>
          <w:u w:val="single"/>
        </w:rPr>
        <w:t xml:space="preserve">             </w:t>
      </w:r>
    </w:p>
    <w:p>
      <w:pPr>
        <w:spacing w:line="360" w:lineRule="auto"/>
        <w:ind w:left="617" w:leftChars="257"/>
        <w:rPr>
          <w:szCs w:val="21"/>
        </w:rPr>
      </w:pPr>
      <w:r>
        <w:rPr>
          <w:rFonts w:hint="eastAsia"/>
          <w:szCs w:val="21"/>
        </w:rPr>
        <w:t>联系电话：</w:t>
      </w:r>
      <w:r>
        <w:rPr>
          <w:rFonts w:hint="eastAsia"/>
          <w:szCs w:val="21"/>
          <w:u w:val="single"/>
        </w:rPr>
        <w:t xml:space="preserve">            </w:t>
      </w:r>
      <w:r>
        <w:rPr>
          <w:rFonts w:hint="eastAsia"/>
          <w:szCs w:val="21"/>
        </w:rPr>
        <w:t xml:space="preserve">  手机：</w:t>
      </w:r>
      <w:r>
        <w:rPr>
          <w:rFonts w:hint="eastAsia"/>
          <w:szCs w:val="21"/>
          <w:u w:val="single"/>
        </w:rPr>
        <w:t xml:space="preserve">                  </w:t>
      </w:r>
      <w:r>
        <w:rPr>
          <w:rFonts w:hint="eastAsia"/>
          <w:szCs w:val="21"/>
        </w:rPr>
        <w:t xml:space="preserve"> 邮箱：</w:t>
      </w:r>
      <w:r>
        <w:rPr>
          <w:rFonts w:hint="eastAsia"/>
          <w:szCs w:val="21"/>
          <w:u w:val="single"/>
        </w:rPr>
        <w:t xml:space="preserve">           </w:t>
      </w:r>
    </w:p>
    <w:p>
      <w:pPr>
        <w:spacing w:line="360" w:lineRule="auto"/>
        <w:ind w:left="617" w:leftChars="257"/>
        <w:rPr>
          <w:szCs w:val="21"/>
          <w:u w:val="single"/>
        </w:rPr>
      </w:pPr>
      <w:r>
        <w:rPr>
          <w:rFonts w:hint="eastAsia"/>
          <w:szCs w:val="21"/>
        </w:rPr>
        <w:t>身份证号码：</w:t>
      </w:r>
      <w:r>
        <w:rPr>
          <w:rFonts w:hint="eastAsia"/>
          <w:szCs w:val="21"/>
          <w:u w:val="single"/>
        </w:rPr>
        <w:t xml:space="preserve">                        </w:t>
      </w:r>
      <w:r>
        <w:rPr>
          <w:rFonts w:hint="eastAsia"/>
          <w:szCs w:val="21"/>
        </w:rPr>
        <w:t>职务：</w:t>
      </w:r>
      <w:r>
        <w:rPr>
          <w:rFonts w:hint="eastAsia"/>
          <w:szCs w:val="21"/>
          <w:u w:val="single"/>
        </w:rPr>
        <w:t xml:space="preserve">       </w:t>
      </w:r>
    </w:p>
    <w:p>
      <w:pPr>
        <w:spacing w:line="360" w:lineRule="auto"/>
        <w:ind w:left="617" w:leftChars="257"/>
        <w:rPr>
          <w:szCs w:val="21"/>
        </w:rPr>
      </w:pPr>
      <w:r>
        <w:rPr>
          <w:rFonts w:hint="eastAsia"/>
          <w:szCs w:val="21"/>
        </w:rPr>
        <w:t>授权委托日期：</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 </w:t>
      </w:r>
      <w:r>
        <w:rPr>
          <w:rFonts w:hint="eastAsia"/>
          <w:szCs w:val="21"/>
          <w:u w:val="single"/>
        </w:rPr>
        <w:t xml:space="preserve">      </w:t>
      </w:r>
      <w:r>
        <w:rPr>
          <w:rFonts w:hint="eastAsia"/>
          <w:szCs w:val="21"/>
        </w:rPr>
        <w:t>日</w:t>
      </w:r>
    </w:p>
    <w:p>
      <w:pPr>
        <w:spacing w:line="360" w:lineRule="auto"/>
        <w:ind w:left="617" w:leftChars="257"/>
        <w:rPr>
          <w:szCs w:val="21"/>
        </w:rPr>
      </w:pPr>
    </w:p>
    <w:p/>
    <w:p>
      <w:pPr>
        <w:ind w:left="630"/>
        <w:rPr>
          <w:rFonts w:ascii="宋体" w:eastAsia="宋体" w:hAnsi="宋体" w:cs="宋体"/>
          <w:b/>
          <w:bCs/>
          <w:color w:val="FF0000"/>
          <w:szCs w:val="21"/>
        </w:rPr>
      </w:pPr>
      <w:r>
        <w:rPr>
          <w:rFonts w:hint="eastAsia"/>
          <w:b/>
          <w:color w:val="FF0000"/>
          <w:szCs w:val="21"/>
        </w:rPr>
        <w:t>说明：</w:t>
      </w:r>
      <w:r>
        <w:rPr>
          <w:rFonts w:ascii="宋体" w:eastAsia="宋体" w:hAnsi="宋体" w:cs="宋体" w:hint="eastAsia"/>
          <w:b/>
          <w:bCs/>
          <w:color w:val="FF0000"/>
          <w:szCs w:val="21"/>
        </w:rPr>
        <w:t>须附上被授权人身份证双面复印件，未按要求提供的作投标无效处理。</w:t>
      </w:r>
    </w:p>
    <w:p>
      <w:pPr>
        <w:pStyle w:val="BodyText"/>
      </w:pPr>
    </w:p>
    <w:p>
      <w:pPr>
        <w:rPr>
          <w:rFonts w:ascii="宋体" w:eastAsia="宋体" w:hAnsi="宋体" w:cs="宋体"/>
        </w:rPr>
      </w:pPr>
      <w:r>
        <w:rPr>
          <w:rFonts w:ascii="宋体" w:eastAsia="宋体" w:hAnsi="宋体" w:cs="宋体" w:hint="eastAsia"/>
          <w:b/>
          <w:bCs/>
          <w:color w:val="000000"/>
        </w:rPr>
        <w:t>附：被授权人身份证</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1"/>
        <w:gridCol w:w="426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799"/>
        </w:trPr>
        <w:tc>
          <w:tcPr>
            <w:tcW w:w="4261" w:type="dxa"/>
          </w:tcPr>
          <w:p>
            <w:pPr>
              <w:widowControl w:val="0"/>
              <w:spacing w:line="480" w:lineRule="auto"/>
              <w:jc w:val="both"/>
              <w:rPr>
                <w:rFonts w:ascii="宋体" w:eastAsia="宋体" w:hAnsi="宋体" w:cs="宋体"/>
              </w:rPr>
            </w:pPr>
          </w:p>
        </w:tc>
        <w:tc>
          <w:tcPr>
            <w:tcW w:w="4261" w:type="dxa"/>
          </w:tcPr>
          <w:p>
            <w:pPr>
              <w:widowControl w:val="0"/>
              <w:spacing w:line="480" w:lineRule="auto"/>
              <w:jc w:val="both"/>
              <w:rPr>
                <w:rFonts w:ascii="宋体" w:eastAsia="宋体" w:hAnsi="宋体" w:cs="宋体"/>
              </w:rPr>
            </w:pPr>
          </w:p>
        </w:tc>
      </w:tr>
    </w:tbl>
    <w:p>
      <w:pPr>
        <w:pStyle w:val="Heading4"/>
        <w:jc w:val="center"/>
        <w:rPr>
          <w:rFonts w:ascii="黑体"/>
          <w:b w:val="0"/>
          <w:sz w:val="24"/>
          <w:szCs w:val="24"/>
        </w:rPr>
      </w:pPr>
      <w:r>
        <w:rPr>
          <w:szCs w:val="21"/>
        </w:rPr>
        <w:br w:type="page"/>
      </w:r>
      <w:r>
        <w:rPr>
          <w:rFonts w:ascii="黑体" w:hint="eastAsia"/>
          <w:b w:val="0"/>
          <w:sz w:val="24"/>
          <w:szCs w:val="24"/>
        </w:rPr>
        <w:t>三、政府采购违法行为风险知悉确认书</w:t>
      </w:r>
    </w:p>
    <w:p>
      <w:pPr>
        <w:spacing w:line="300" w:lineRule="auto"/>
        <w:ind w:firstLine="480" w:firstLineChars="200"/>
        <w:rPr>
          <w:rFonts w:ascii="仿宋_GB2312" w:eastAsia="仿宋_GB2312" w:hAnsi="仿宋_GB2312" w:cs="仿宋_GB2312"/>
        </w:rPr>
      </w:pPr>
      <w:r>
        <w:rPr>
          <w:rFonts w:eastAsia="宋体" w:hAnsi="宋体" w:hint="eastAsia"/>
        </w:rPr>
        <w:t xml:space="preserve"> </w:t>
      </w:r>
      <w:r>
        <w:rPr>
          <w:rFonts w:ascii="仿宋_GB2312" w:eastAsia="仿宋_GB2312" w:hAnsi="仿宋_GB2312" w:cs="仿宋_GB2312" w:hint="eastAsia"/>
        </w:rPr>
        <w:t>本公司在投标前已充分知悉以下情形为参与政府采购活动时的重大风险事项，并承诺已对下述风险提示事项重点排查，做到严谨、诚信、依法依规参与政府采购活动。</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b/>
          <w:bCs/>
        </w:rPr>
        <w:t>一、本公司已充分知悉“隐瞒真实情况，提供虚假资料”的法定情形，相关情形包括但不限于</w:t>
      </w:r>
      <w:r>
        <w:rPr>
          <w:rFonts w:ascii="仿宋_GB2312" w:eastAsia="仿宋_GB2312" w:hAnsi="仿宋_GB2312" w:cs="仿宋_GB2312" w:hint="eastAsia"/>
        </w:rPr>
        <w:t>：</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（一）通过转让或者租借等方式从其他单位获取资格或者资质证书投标的。</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（二）由其他单位或者其他单位负责人在投标供应商编制的投标文件上加盖印章或者签字的。</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（三）项目负责人或者主要技术人员不是本单位人员的。</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（四）投标保证金不是从投标供应商基本账户转出的。</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（五）其他隐瞒真实情况、提供虚假资料的行为。</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b/>
          <w:bCs/>
        </w:rPr>
        <w:t>二、本公司已充分知悉“与其他采购参加人串通投标”的法定情形，相关情形包括但不限于：</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 xml:space="preserve">（一）投标供应商之间相互约定给予未中标的供应商利益补偿。 </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（二）不同投标供应商的法定代表人、主要经营负责人、项目投标授权代表人、项目负责人、主要技术人员为同一人、</w:t>
      </w:r>
      <w:r>
        <w:rPr>
          <w:rFonts w:ascii="仿宋_GB2312" w:eastAsia="仿宋_GB2312" w:hAnsi="仿宋_GB2312" w:cs="仿宋_GB2312" w:hint="eastAsia"/>
          <w:lang w:eastAsia="zh-CN"/>
        </w:rPr>
        <w:t>属于</w:t>
      </w:r>
      <w:r>
        <w:rPr>
          <w:rFonts w:ascii="仿宋_GB2312" w:eastAsia="仿宋_GB2312" w:hAnsi="仿宋_GB2312" w:cs="仿宋_GB2312" w:hint="eastAsia"/>
        </w:rPr>
        <w:t>同一单位或者在同一单位缴纳社会保险。</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（三）不同投标供应商的投标文件由同一单位或者同一人编制，或者由同一人分阶段参与编制的。</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（四）不同投标供应商的投标文件或部分投标文件相互混装。</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（五）不同投标供应商的投标文件内容存在非正常一致。</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（六）由同一单位工作人员为两家以上（含两家）供应商进行同一项投标活动的。</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（七）不同投标人的投标报价呈规律性差异。</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（八）不同投标人的投标保证金从同一单位或者个人的账户转出。</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（九）主管部门依照</w:t>
      </w:r>
      <w:r>
        <w:rPr>
          <w:rFonts w:ascii="仿宋_GB2312" w:eastAsia="仿宋_GB2312" w:hAnsi="仿宋_GB2312" w:cs="仿宋_GB2312" w:hint="eastAsia"/>
          <w:lang w:eastAsia="zh-CN"/>
        </w:rPr>
        <w:t>法律法规</w:t>
      </w:r>
      <w:r>
        <w:rPr>
          <w:rFonts w:ascii="仿宋_GB2312" w:eastAsia="仿宋_GB2312" w:hAnsi="仿宋_GB2312" w:cs="仿宋_GB2312" w:hint="eastAsia"/>
        </w:rPr>
        <w:t>认定的其他情形。</w:t>
      </w:r>
    </w:p>
    <w:p>
      <w:pPr>
        <w:spacing w:line="300" w:lineRule="auto"/>
        <w:ind w:firstLine="480" w:firstLineChars="200"/>
        <w:rPr>
          <w:rFonts w:ascii="仿宋_GB2312" w:eastAsia="仿宋_GB2312" w:hAnsi="仿宋_GB2312" w:cs="仿宋_GB2312"/>
          <w:b/>
          <w:bCs/>
        </w:rPr>
      </w:pPr>
      <w:r>
        <w:rPr>
          <w:rFonts w:ascii="仿宋_GB2312" w:eastAsia="仿宋_GB2312" w:hAnsi="仿宋_GB2312" w:cs="仿宋_GB2312" w:hint="eastAsia"/>
          <w:b/>
          <w:bCs/>
        </w:rPr>
        <w:t>三、本公司已充分知悉下列情形所对应的法律风险，并在投标前已对相关风险事项进行排查。</w:t>
      </w:r>
    </w:p>
    <w:p>
      <w:pPr>
        <w:spacing w:line="300" w:lineRule="auto"/>
        <w:ind w:firstLine="480" w:firstLineChars="200"/>
        <w:rPr>
          <w:rFonts w:ascii="仿宋_GB2312" w:eastAsia="仿宋_GB2312" w:hAnsi="仿宋_GB2312" w:cs="仿宋_GB2312"/>
          <w:b/>
          <w:bCs/>
        </w:rPr>
      </w:pPr>
      <w:r>
        <w:rPr>
          <w:rFonts w:ascii="仿宋_GB2312" w:eastAsia="仿宋_GB2312" w:hAnsi="仿宋_GB2312" w:cs="仿宋_GB2312" w:hint="eastAsia"/>
        </w:rPr>
        <w:t>（一）对于</w:t>
      </w:r>
      <w:r>
        <w:rPr>
          <w:rFonts w:ascii="仿宋_GB2312" w:eastAsia="仿宋_GB2312" w:hint="eastAsia"/>
        </w:rPr>
        <w:t>从</w:t>
      </w:r>
      <w:r>
        <w:rPr>
          <w:rFonts w:ascii="仿宋_GB2312" w:eastAsia="仿宋_GB2312" w:hAnsi="仿宋_GB2312" w:cs="仿宋_GB2312" w:hint="eastAsia"/>
        </w:rPr>
        <w:t>其他主体</w:t>
      </w:r>
      <w:r>
        <w:rPr>
          <w:rFonts w:ascii="仿宋_GB2312" w:eastAsia="仿宋_GB2312" w:hint="eastAsia"/>
        </w:rPr>
        <w:t>获取</w:t>
      </w:r>
      <w:r>
        <w:rPr>
          <w:rFonts w:ascii="仿宋_GB2312" w:eastAsia="仿宋_GB2312" w:hAnsi="仿宋_GB2312" w:cs="仿宋_GB2312" w:hint="eastAsia"/>
        </w:rPr>
        <w:t>的投标资料，供应商应审慎核查，确保投标资料的真实性。</w:t>
      </w:r>
      <w:r>
        <w:rPr>
          <w:rFonts w:ascii="仿宋_GB2312" w:eastAsia="仿宋_GB2312" w:hAnsi="仿宋_GB2312" w:cs="仿宋_GB2312" w:hint="eastAsia"/>
          <w:b/>
          <w:bCs/>
        </w:rPr>
        <w:t>如主管部门查实投标文件中存在虚假资料的，无论相关资料是否由第三方或本公司员工提供，均不影响主管部门对供应商存在“隐瞒真实情况，提供虚假资料”违法行为的认定。</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（二）对于涉及国家机关出具的公文、证件、证明材料等文件，一旦涉嫌虚假，经查实，主管部门将依法从严处理，并移送有关部门追究法律责任；涉嫌犯罪的，主管部门将一并移送司法机关追究法律责任。</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 xml:space="preserve">（三）对于涉及安全生产、特种作业、抢险救灾、防疫等政府采购项目，供应商实施提供虚假资料、串通投标等违法行为的，主管部门将依法从严处理。 </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（四）供应商应严格规范项目授权代表、员工参与招标投标的行为，加强对投标文件的审核。项目授权代表、员工</w:t>
      </w:r>
      <w:r>
        <w:rPr>
          <w:rFonts w:ascii="仿宋_GB2312" w:eastAsia="仿宋_GB2312" w:hint="eastAsia"/>
        </w:rPr>
        <w:t>编制、上传</w:t>
      </w:r>
      <w:r>
        <w:rPr>
          <w:rFonts w:ascii="仿宋_GB2312" w:eastAsia="仿宋_GB2312" w:hAnsi="仿宋_GB2312" w:cs="仿宋_GB2312" w:hint="eastAsia"/>
        </w:rPr>
        <w:t>投标文件</w:t>
      </w:r>
      <w:r>
        <w:rPr>
          <w:rFonts w:ascii="仿宋_GB2312" w:eastAsia="仿宋_GB2312" w:hint="eastAsia"/>
        </w:rPr>
        <w:t>等行为</w:t>
      </w:r>
      <w:r>
        <w:rPr>
          <w:rFonts w:ascii="仿宋_GB2312" w:eastAsia="仿宋_GB2312" w:hAnsi="仿宋_GB2312" w:cs="仿宋_GB2312" w:hint="eastAsia"/>
        </w:rPr>
        <w:t>违反政府采购法律法规或招标文件要求的，投标供应商应当依法承担相应法律责任。</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（六）单位负责人为同一人或者存在直接控股、管理关系的不同供应商，不得参加同一合同项下的政府采购活动。相关情形</w:t>
      </w:r>
      <w:r>
        <w:rPr>
          <w:rFonts w:ascii="仿宋_GB2312" w:eastAsia="仿宋_GB2312" w:hint="eastAsia"/>
        </w:rPr>
        <w:t>如</w:t>
      </w:r>
      <w:r>
        <w:rPr>
          <w:rFonts w:ascii="仿宋_GB2312" w:eastAsia="仿宋_GB2312" w:hAnsi="仿宋_GB2312" w:cs="仿宋_GB2312" w:hint="eastAsia"/>
        </w:rPr>
        <w:t>查实，依法作投标无效处理；涉嫌串通投标等违法行为的，主管部门将依法调查处理。</w:t>
      </w:r>
    </w:p>
    <w:p>
      <w:pPr>
        <w:spacing w:line="300" w:lineRule="auto"/>
        <w:ind w:firstLine="480" w:firstLineChars="200"/>
        <w:rPr>
          <w:rFonts w:ascii="仿宋_GB2312" w:eastAsia="仿宋_GB2312" w:hAnsi="仿宋_GB2312" w:cs="仿宋_GB2312"/>
          <w:b/>
          <w:bCs/>
        </w:rPr>
      </w:pPr>
      <w:r>
        <w:rPr>
          <w:rFonts w:ascii="仿宋_GB2312" w:eastAsia="仿宋_GB2312" w:hAnsi="仿宋_GB2312" w:cs="仿宋_GB2312" w:hint="eastAsia"/>
          <w:b/>
          <w:bCs/>
        </w:rPr>
        <w:t>四、本公司已充分知悉政府采购违法、违规行为的法律后果。</w:t>
      </w:r>
      <w:r>
        <w:rPr>
          <w:rFonts w:ascii="仿宋_GB2312" w:eastAsia="仿宋_GB2312" w:hAnsi="仿宋_GB2312" w:cs="仿宋_GB2312" w:hint="eastAsi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pPr>
        <w:spacing w:line="300" w:lineRule="auto"/>
        <w:ind w:firstLine="480" w:firstLineChars="200"/>
        <w:rPr>
          <w:rFonts w:ascii="仿宋_GB2312" w:eastAsia="仿宋_GB2312" w:hAnsi="仿宋_GB2312" w:cs="仿宋_GB2312"/>
        </w:rPr>
      </w:pPr>
      <w:r>
        <w:rPr>
          <w:rFonts w:ascii="仿宋_GB2312" w:eastAsia="仿宋_GB2312" w:hAnsi="仿宋_GB2312" w:cs="仿宋_GB2312" w:hint="eastAsia"/>
        </w:rPr>
        <w:t>以下文字请投标供应商抄写并确认：“本公司已仔细阅读《政府采购违法行为风险知悉确认书》，充分知悉违法行为的法律后果，并承诺将严谨、诚信、依法依规参与政府采购活动”。</w:t>
      </w:r>
    </w:p>
    <w:p>
      <w:pPr>
        <w:spacing w:line="300" w:lineRule="auto"/>
        <w:rPr>
          <w:rFonts w:ascii="仿宋_GB2312" w:eastAsia="仿宋_GB2312" w:hAnsi="仿宋_GB2312" w:cs="仿宋_GB2312"/>
        </w:rPr>
      </w:pPr>
      <w:r>
        <w:rPr>
          <w:rFonts w:ascii="仿宋_GB2312" w:eastAsia="仿宋_GB2312" w:hAnsi="仿宋_GB2312" w:cs="仿宋_GB2312" w:hint="eastAsia"/>
          <w:u w:val="single"/>
        </w:rPr>
        <w:t xml:space="preserve">                                                                          </w:t>
      </w:r>
    </w:p>
    <w:p>
      <w:pPr>
        <w:spacing w:line="300" w:lineRule="auto"/>
        <w:rPr>
          <w:rFonts w:ascii="仿宋_GB2312" w:eastAsia="仿宋_GB2312" w:hAnsi="仿宋_GB2312" w:cs="仿宋_GB2312"/>
        </w:rPr>
      </w:pPr>
      <w:r>
        <w:rPr>
          <w:rFonts w:ascii="仿宋_GB2312" w:eastAsia="仿宋_GB2312" w:hAnsi="仿宋_GB2312" w:cs="仿宋_GB2312" w:hint="eastAsia"/>
          <w:u w:val="single"/>
        </w:rPr>
        <w:t xml:space="preserve">                                                                          </w:t>
      </w:r>
    </w:p>
    <w:p>
      <w:pPr>
        <w:spacing w:line="300" w:lineRule="auto"/>
        <w:rPr>
          <w:rFonts w:ascii="仿宋_GB2312" w:eastAsia="仿宋_GB2312" w:hAnsi="仿宋_GB2312" w:cs="仿宋_GB2312"/>
        </w:rPr>
      </w:pPr>
      <w:r>
        <w:rPr>
          <w:rFonts w:ascii="仿宋_GB2312" w:eastAsia="仿宋_GB2312" w:hAnsi="仿宋_GB2312" w:cs="仿宋_GB2312" w:hint="eastAsia"/>
          <w:u w:val="single"/>
        </w:rPr>
        <w:t xml:space="preserve">                                                                          </w:t>
      </w:r>
    </w:p>
    <w:p>
      <w:pPr>
        <w:spacing w:line="300" w:lineRule="auto"/>
        <w:rPr>
          <w:rFonts w:ascii="仿宋_GB2312" w:eastAsia="仿宋_GB2312" w:hAnsi="仿宋_GB2312" w:cs="仿宋_GB2312"/>
        </w:rPr>
      </w:pPr>
      <w:r>
        <w:rPr>
          <w:rFonts w:ascii="仿宋_GB2312" w:eastAsia="仿宋_GB2312" w:hAnsi="仿宋_GB2312" w:cs="仿宋_GB2312" w:hint="eastAsia"/>
          <w:u w:val="single"/>
        </w:rPr>
        <w:t xml:space="preserve">                                                                          </w:t>
      </w:r>
    </w:p>
    <w:p>
      <w:pPr>
        <w:spacing w:line="579" w:lineRule="exact"/>
        <w:rPr>
          <w:rFonts w:ascii="仿宋_GB2312" w:eastAsia="仿宋_GB2312" w:hAnsi="仿宋_GB2312" w:cs="仿宋_GB2312"/>
          <w:highlight w:val="yellow"/>
        </w:rPr>
      </w:pPr>
    </w:p>
    <w:p>
      <w:pPr>
        <w:spacing w:line="579" w:lineRule="exact"/>
        <w:rPr>
          <w:rFonts w:ascii="仿宋_GB2312" w:eastAsia="仿宋_GB2312" w:hAnsi="仿宋_GB2312" w:cs="仿宋_GB2312"/>
        </w:rPr>
      </w:pPr>
      <w:r>
        <w:rPr>
          <w:rFonts w:ascii="仿宋_GB2312" w:eastAsia="仿宋_GB2312" w:hAnsi="仿宋_GB2312" w:cs="仿宋_GB2312" w:hint="eastAsia"/>
        </w:rPr>
        <w:t xml:space="preserve">                    负责人/投标授权代表签名：</w:t>
      </w:r>
    </w:p>
    <w:p>
      <w:pPr>
        <w:spacing w:line="579" w:lineRule="exact"/>
        <w:ind w:firstLine="2400" w:firstLineChars="1000"/>
        <w:rPr>
          <w:rFonts w:ascii="仿宋_GB2312" w:eastAsia="仿宋_GB2312" w:hAnsi="仿宋_GB2312" w:cs="仿宋_GB2312"/>
        </w:rPr>
      </w:pPr>
      <w:r>
        <w:rPr>
          <w:rFonts w:ascii="仿宋_GB2312" w:eastAsia="仿宋_GB2312" w:hAnsi="仿宋_GB2312" w:cs="仿宋_GB2312" w:hint="eastAsia"/>
        </w:rPr>
        <w:t>知悉人（公章）：</w:t>
      </w:r>
    </w:p>
    <w:p>
      <w:pPr>
        <w:spacing w:line="579" w:lineRule="exact"/>
      </w:pPr>
      <w:r>
        <w:rPr>
          <w:rFonts w:ascii="仿宋_GB2312" w:eastAsia="仿宋_GB2312" w:hAnsi="仿宋_GB2312" w:cs="仿宋_GB2312" w:hint="eastAsia"/>
        </w:rPr>
        <w:t xml:space="preserve">                    日期：</w:t>
      </w:r>
    </w:p>
    <w:p>
      <w:pPr>
        <w:rPr>
          <w:b/>
          <w:szCs w:val="21"/>
        </w:rPr>
      </w:pPr>
    </w:p>
    <w:p>
      <w:pPr>
        <w:pStyle w:val="Heading4"/>
        <w:jc w:val="center"/>
        <w:rPr>
          <w:rFonts w:ascii="黑体"/>
          <w:b w:val="0"/>
          <w:sz w:val="24"/>
          <w:szCs w:val="24"/>
        </w:rPr>
      </w:pPr>
      <w:r>
        <w:rPr>
          <w:rFonts w:ascii="黑体" w:hint="eastAsia"/>
          <w:b w:val="0"/>
          <w:sz w:val="24"/>
          <w:szCs w:val="24"/>
        </w:rPr>
        <w:t>四、</w:t>
      </w:r>
      <w:bookmarkStart w:id="57" w:name="_Hlk72092634"/>
      <w:r>
        <w:rPr>
          <w:rFonts w:ascii="黑体" w:hint="eastAsia"/>
          <w:b w:val="0"/>
          <w:sz w:val="24"/>
          <w:szCs w:val="24"/>
        </w:rPr>
        <w:t>实质性条款响应情况表</w:t>
      </w:r>
      <w:bookmarkEnd w:id="57"/>
    </w:p>
    <w:p>
      <w:bookmarkEnd w:id="55"/>
      <w:r>
        <w:rPr>
          <w:rFonts w:ascii="宋体" w:hAnsi="宋体" w:hint="eastAsia"/>
          <w:szCs w:val="21"/>
        </w:rPr>
        <w:t xml:space="preserve"> </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3686"/>
        <w:gridCol w:w="3884"/>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31"/>
        </w:trPr>
        <w:tc>
          <w:tcPr>
            <w:tcW w:w="705" w:type="dxa"/>
            <w:vAlign w:val="center"/>
          </w:tcPr>
          <w:p>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序号</w:t>
            </w:r>
          </w:p>
        </w:tc>
        <w:tc>
          <w:tcPr>
            <w:tcW w:w="3686" w:type="dxa"/>
            <w:vAlign w:val="center"/>
          </w:tcPr>
          <w:p>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实质性条款具体内容</w:t>
            </w:r>
          </w:p>
        </w:tc>
        <w:tc>
          <w:tcPr>
            <w:tcW w:w="3884" w:type="dxa"/>
            <w:vAlign w:val="center"/>
          </w:tcPr>
          <w:p>
            <w:pPr>
              <w:adjustRightInd w:val="0"/>
              <w:snapToGrid w:val="0"/>
              <w:spacing w:line="360" w:lineRule="auto"/>
              <w:jc w:val="center"/>
              <w:rPr>
                <w:rFonts w:ascii="宋体" w:eastAsia="宋体" w:hAnsi="宋体" w:cs="宋体"/>
                <w:szCs w:val="21"/>
              </w:rPr>
            </w:pPr>
            <w:r>
              <w:rPr>
                <w:rFonts w:ascii="宋体" w:eastAsia="宋体" w:hAnsi="宋体" w:cs="宋体" w:hint="eastAsia"/>
              </w:rPr>
              <w:t>投标人响应情况</w:t>
            </w:r>
          </w:p>
        </w:tc>
      </w:tr>
      <w:tr>
        <w:tblPrEx>
          <w:tblW w:w="0" w:type="auto"/>
          <w:tblInd w:w="0" w:type="dxa"/>
          <w:tblLayout w:type="fixed"/>
          <w:tblCellMar>
            <w:top w:w="0" w:type="dxa"/>
            <w:left w:w="108" w:type="dxa"/>
            <w:bottom w:w="0" w:type="dxa"/>
            <w:right w:w="108" w:type="dxa"/>
          </w:tblCellMar>
        </w:tblPrEx>
        <w:tc>
          <w:tcPr>
            <w:tcW w:w="705" w:type="dxa"/>
          </w:tcPr>
          <w:p>
            <w:pPr>
              <w:adjustRightInd w:val="0"/>
              <w:snapToGrid w:val="0"/>
              <w:spacing w:line="360" w:lineRule="auto"/>
              <w:rPr>
                <w:rFonts w:ascii="宋体" w:eastAsia="宋体" w:hAnsi="宋体" w:cs="宋体"/>
                <w:szCs w:val="21"/>
              </w:rPr>
            </w:pPr>
            <w:r>
              <w:rPr>
                <w:rFonts w:ascii="宋体" w:hAnsi="宋体" w:cs="宋体" w:hint="eastAsia"/>
                <w:szCs w:val="21"/>
              </w:rPr>
              <w:t>1</w:t>
            </w:r>
          </w:p>
        </w:tc>
        <w:tc>
          <w:tcPr>
            <w:tcW w:w="3686" w:type="dxa"/>
            <w:vAlign w:val="center"/>
          </w:tcPr>
          <w:p>
            <w:pPr>
              <w:adjustRightInd w:val="0"/>
              <w:snapToGrid w:val="0"/>
              <w:spacing w:line="360" w:lineRule="auto"/>
              <w:jc w:val="center"/>
              <w:rPr>
                <w:rFonts w:ascii="宋体" w:eastAsia="宋体" w:hAnsi="宋体" w:cs="宋体"/>
                <w:szCs w:val="21"/>
              </w:rPr>
            </w:pPr>
            <w:r>
              <w:rPr>
                <w:rFonts w:eastAsia="宋体" w:hAnsi="宋体" w:hint="eastAsia"/>
                <w:szCs w:val="21"/>
              </w:rPr>
              <w:t>招标文件中带</w:t>
            </w:r>
            <w:r>
              <w:rPr>
                <w:rFonts w:eastAsia="宋体" w:hAnsi="宋体" w:hint="eastAsia"/>
                <w:color w:val="FF0000"/>
                <w:szCs w:val="21"/>
              </w:rPr>
              <w:t>★</w:t>
            </w:r>
            <w:r>
              <w:rPr>
                <w:rFonts w:eastAsia="宋体" w:hAnsi="宋体" w:hint="eastAsia"/>
                <w:szCs w:val="21"/>
              </w:rPr>
              <w:t>的条款</w:t>
            </w:r>
          </w:p>
        </w:tc>
        <w:tc>
          <w:tcPr>
            <w:tcW w:w="3884" w:type="dxa"/>
          </w:tcPr>
          <w:p>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响应</w:t>
            </w:r>
          </w:p>
        </w:tc>
      </w:tr>
    </w:tbl>
    <w:p>
      <w:pPr>
        <w:ind w:firstLine="480" w:firstLineChars="200"/>
        <w:rPr>
          <w:rFonts w:ascii="宋体" w:eastAsia="宋体" w:hAnsi="宋体" w:cs="宋体"/>
          <w:b/>
          <w:szCs w:val="22"/>
        </w:rPr>
      </w:pPr>
    </w:p>
    <w:p>
      <w:pPr>
        <w:spacing w:line="360" w:lineRule="auto"/>
        <w:rPr>
          <w:rFonts w:ascii="宋体" w:eastAsia="宋体" w:hAnsi="宋体" w:cs="宋体"/>
          <w:szCs w:val="21"/>
        </w:rPr>
      </w:pPr>
      <w:r>
        <w:rPr>
          <w:rFonts w:ascii="宋体" w:eastAsia="宋体" w:hAnsi="宋体" w:cs="宋体" w:hint="eastAsia"/>
          <w:b/>
          <w:color w:val="FF0000"/>
          <w:szCs w:val="21"/>
        </w:rPr>
        <w:t>注：</w:t>
      </w:r>
      <w:r>
        <w:rPr>
          <w:rFonts w:ascii="宋体" w:eastAsia="宋体" w:hAnsi="宋体" w:cs="宋体" w:hint="eastAsia"/>
          <w:b/>
          <w:bCs/>
          <w:color w:val="FF0000"/>
          <w:szCs w:val="21"/>
        </w:rPr>
        <w:t>1、上表所列内容为不可负偏离条款。</w:t>
      </w:r>
    </w:p>
    <w:p>
      <w:pPr>
        <w:spacing w:line="360" w:lineRule="auto"/>
        <w:ind w:firstLine="485" w:firstLineChars="202"/>
        <w:rPr>
          <w:rFonts w:ascii="宋体" w:eastAsia="宋体" w:hAnsi="宋体" w:cs="宋体"/>
          <w:szCs w:val="21"/>
        </w:rPr>
      </w:pPr>
      <w:r>
        <w:rPr>
          <w:rFonts w:ascii="宋体" w:eastAsia="宋体" w:hAnsi="宋体" w:cs="宋体" w:hint="eastAsia"/>
          <w:szCs w:val="21"/>
        </w:rPr>
        <w:t>2、“投标人响应情况”一栏应如实填写“响应”或“不响应”。</w:t>
      </w:r>
    </w:p>
    <w:p>
      <w:pPr>
        <w:spacing w:line="360" w:lineRule="auto"/>
        <w:ind w:firstLine="485" w:firstLineChars="202"/>
        <w:rPr>
          <w:rFonts w:ascii="宋体" w:eastAsia="宋体" w:hAnsi="宋体" w:cs="宋体"/>
          <w:szCs w:val="21"/>
        </w:rPr>
      </w:pPr>
      <w:r>
        <w:rPr>
          <w:rFonts w:ascii="宋体" w:eastAsia="宋体" w:hAnsi="宋体" w:cs="宋体" w:hint="eastAsia"/>
          <w:szCs w:val="21"/>
        </w:rPr>
        <w:t>3、“实质性响应条款偏离表”与投标文件</w:t>
      </w:r>
      <w:r>
        <w:rPr>
          <w:rFonts w:ascii="宋体" w:eastAsia="宋体" w:hAnsi="宋体" w:cs="宋体" w:hint="eastAsia"/>
          <w:szCs w:val="21"/>
          <w:lang w:eastAsia="zh-CN"/>
        </w:rPr>
        <w:t>其他内容</w:t>
      </w:r>
      <w:r>
        <w:rPr>
          <w:rFonts w:ascii="宋体" w:eastAsia="宋体" w:hAnsi="宋体" w:cs="宋体" w:hint="eastAsia"/>
          <w:szCs w:val="21"/>
        </w:rPr>
        <w:t>冲突的，以“实质性响应条款偏离表”为准。</w:t>
      </w:r>
    </w:p>
    <w:p/>
    <w:p>
      <w:pPr>
        <w:pStyle w:val="Heading4"/>
        <w:jc w:val="center"/>
        <w:rPr>
          <w:rFonts w:eastAsia="黑体" w:hint="default"/>
          <w:sz w:val="24"/>
          <w:lang w:val="en-US" w:eastAsia="zh-CN"/>
        </w:rPr>
      </w:pPr>
      <w:r>
        <w:rPr>
          <w:rFonts w:ascii="黑体" w:hint="eastAsia"/>
          <w:b w:val="0"/>
          <w:sz w:val="24"/>
          <w:szCs w:val="24"/>
        </w:rPr>
        <w:t>五、</w:t>
      </w:r>
      <w:r>
        <w:rPr>
          <w:rFonts w:ascii="黑体" w:hint="eastAsia"/>
          <w:b w:val="0"/>
          <w:sz w:val="24"/>
          <w:szCs w:val="24"/>
          <w:lang w:eastAsia="zh-CN"/>
        </w:rPr>
        <w:t>技术规格偏离</w:t>
      </w:r>
      <w:r>
        <w:rPr>
          <w:rFonts w:ascii="黑体" w:hint="eastAsia"/>
          <w:b w:val="0"/>
          <w:sz w:val="24"/>
          <w:szCs w:val="24"/>
          <w:lang w:val="en-US" w:eastAsia="zh-CN"/>
        </w:rPr>
        <w:t>情况</w:t>
      </w:r>
    </w:p>
    <w:tbl>
      <w:tblPr>
        <w:tblStyle w:val="TableNormal"/>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4"/>
        <w:gridCol w:w="1420"/>
        <w:gridCol w:w="1985"/>
        <w:gridCol w:w="1985"/>
        <w:gridCol w:w="1420"/>
        <w:gridCol w:w="855"/>
      </w:tblGrid>
      <w:tr>
        <w:tblPrEx>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trPr>
        <w:tc>
          <w:tcPr>
            <w:tcW w:w="501" w:type="pct"/>
            <w:vAlign w:val="center"/>
          </w:tcPr>
          <w:p>
            <w:pPr>
              <w:jc w:val="center"/>
              <w:rPr>
                <w:rFonts w:ascii="宋体" w:eastAsia="宋体" w:hAnsi="宋体" w:cs="宋体"/>
                <w:b/>
                <w:sz w:val="21"/>
                <w:szCs w:val="21"/>
              </w:rPr>
            </w:pPr>
            <w:r>
              <w:rPr>
                <w:rFonts w:ascii="宋体" w:eastAsia="宋体" w:hAnsi="宋体" w:cs="宋体" w:hint="eastAsia"/>
                <w:sz w:val="21"/>
                <w:szCs w:val="21"/>
              </w:rPr>
              <w:t>序号</w:t>
            </w:r>
          </w:p>
        </w:tc>
        <w:tc>
          <w:tcPr>
            <w:tcW w:w="833" w:type="pct"/>
            <w:vAlign w:val="center"/>
          </w:tcPr>
          <w:p>
            <w:pPr>
              <w:jc w:val="center"/>
              <w:rPr>
                <w:rFonts w:ascii="宋体" w:eastAsia="宋体" w:hAnsi="宋体" w:cs="宋体"/>
                <w:b/>
                <w:sz w:val="21"/>
                <w:szCs w:val="21"/>
              </w:rPr>
            </w:pPr>
            <w:r>
              <w:rPr>
                <w:rFonts w:ascii="宋体" w:eastAsia="宋体" w:hAnsi="宋体" w:cs="宋体" w:hint="eastAsia"/>
                <w:bCs/>
                <w:sz w:val="21"/>
                <w:szCs w:val="21"/>
              </w:rPr>
              <w:t>货物名称</w:t>
            </w:r>
          </w:p>
        </w:tc>
        <w:tc>
          <w:tcPr>
            <w:tcW w:w="1164" w:type="pct"/>
            <w:vAlign w:val="center"/>
          </w:tcPr>
          <w:p>
            <w:pPr>
              <w:jc w:val="center"/>
              <w:rPr>
                <w:rFonts w:ascii="宋体" w:eastAsia="宋体" w:hAnsi="宋体" w:cs="宋体"/>
                <w:b/>
                <w:sz w:val="21"/>
                <w:szCs w:val="21"/>
              </w:rPr>
            </w:pPr>
            <w:r>
              <w:rPr>
                <w:rFonts w:ascii="宋体" w:eastAsia="宋体" w:hAnsi="宋体" w:cs="宋体" w:hint="eastAsia"/>
                <w:sz w:val="21"/>
                <w:szCs w:val="21"/>
              </w:rPr>
              <w:t>招标技术要求</w:t>
            </w:r>
          </w:p>
        </w:tc>
        <w:tc>
          <w:tcPr>
            <w:tcW w:w="1164" w:type="pct"/>
            <w:vAlign w:val="center"/>
          </w:tcPr>
          <w:p>
            <w:pPr>
              <w:jc w:val="center"/>
              <w:rPr>
                <w:rFonts w:ascii="宋体" w:eastAsia="宋体" w:hAnsi="宋体" w:cs="宋体"/>
                <w:b/>
                <w:sz w:val="21"/>
                <w:szCs w:val="21"/>
              </w:rPr>
            </w:pPr>
            <w:r>
              <w:rPr>
                <w:rFonts w:ascii="宋体" w:eastAsia="宋体" w:hAnsi="宋体" w:cs="宋体" w:hint="eastAsia"/>
                <w:sz w:val="21"/>
                <w:szCs w:val="21"/>
              </w:rPr>
              <w:t>投标技术响应</w:t>
            </w:r>
          </w:p>
        </w:tc>
        <w:tc>
          <w:tcPr>
            <w:tcW w:w="833" w:type="pct"/>
            <w:vAlign w:val="center"/>
          </w:tcPr>
          <w:p>
            <w:pPr>
              <w:jc w:val="center"/>
              <w:rPr>
                <w:rFonts w:ascii="宋体" w:eastAsia="宋体" w:hAnsi="宋体" w:cs="宋体"/>
                <w:b/>
                <w:sz w:val="21"/>
                <w:szCs w:val="21"/>
              </w:rPr>
            </w:pPr>
            <w:r>
              <w:rPr>
                <w:rFonts w:ascii="宋体" w:eastAsia="宋体" w:hAnsi="宋体" w:cs="宋体" w:hint="eastAsia"/>
                <w:sz w:val="21"/>
                <w:szCs w:val="21"/>
              </w:rPr>
              <w:t>偏离情况</w:t>
            </w:r>
          </w:p>
        </w:tc>
        <w:tc>
          <w:tcPr>
            <w:tcW w:w="501" w:type="pct"/>
            <w:vAlign w:val="center"/>
          </w:tcPr>
          <w:p>
            <w:pPr>
              <w:jc w:val="center"/>
              <w:rPr>
                <w:rFonts w:ascii="宋体" w:eastAsia="宋体" w:hAnsi="宋体" w:cs="宋体"/>
                <w:b/>
                <w:sz w:val="21"/>
                <w:szCs w:val="21"/>
              </w:rPr>
            </w:pPr>
            <w:r>
              <w:rPr>
                <w:rFonts w:ascii="宋体" w:eastAsia="宋体" w:hAnsi="宋体" w:cs="宋体" w:hint="eastAsia"/>
                <w:sz w:val="21"/>
                <w:szCs w:val="21"/>
              </w:rPr>
              <w:t>说明</w:t>
            </w:r>
          </w:p>
        </w:tc>
      </w:tr>
      <w:tr>
        <w:tblPrEx>
          <w:tblW w:w="4998" w:type="pct"/>
          <w:tblInd w:w="0" w:type="dxa"/>
          <w:tblCellMar>
            <w:top w:w="0" w:type="dxa"/>
            <w:left w:w="108" w:type="dxa"/>
            <w:bottom w:w="0" w:type="dxa"/>
            <w:right w:w="108" w:type="dxa"/>
          </w:tblCellMar>
        </w:tblPrEx>
        <w:trPr>
          <w:trHeight w:val="397"/>
        </w:trPr>
        <w:tc>
          <w:tcPr>
            <w:tcW w:w="501" w:type="pct"/>
            <w:vAlign w:val="center"/>
          </w:tcPr>
          <w:p>
            <w:pPr>
              <w:jc w:val="center"/>
              <w:rPr>
                <w:rFonts w:ascii="宋体" w:eastAsia="宋体" w:hAnsi="宋体" w:cs="宋体"/>
                <w:sz w:val="21"/>
                <w:szCs w:val="21"/>
              </w:rPr>
            </w:pPr>
            <w:r>
              <w:rPr>
                <w:rFonts w:ascii="宋体" w:eastAsia="宋体" w:hAnsi="宋体" w:cs="宋体" w:hint="eastAsia"/>
                <w:sz w:val="21"/>
                <w:szCs w:val="21"/>
              </w:rPr>
              <w:t>1</w:t>
            </w:r>
          </w:p>
        </w:tc>
        <w:tc>
          <w:tcPr>
            <w:tcW w:w="833" w:type="pct"/>
            <w:vAlign w:val="center"/>
          </w:tcPr>
          <w:p>
            <w:pPr>
              <w:jc w:val="center"/>
              <w:rPr>
                <w:rFonts w:ascii="宋体" w:eastAsia="宋体" w:hAnsi="宋体" w:cs="宋体"/>
                <w:b/>
                <w:sz w:val="21"/>
                <w:szCs w:val="21"/>
              </w:rPr>
            </w:pPr>
          </w:p>
        </w:tc>
        <w:tc>
          <w:tcPr>
            <w:tcW w:w="1164" w:type="pct"/>
            <w:vAlign w:val="center"/>
          </w:tcPr>
          <w:p>
            <w:pPr>
              <w:jc w:val="center"/>
              <w:rPr>
                <w:rFonts w:ascii="宋体" w:eastAsia="宋体" w:hAnsi="宋体" w:cs="宋体"/>
                <w:sz w:val="21"/>
                <w:szCs w:val="21"/>
              </w:rPr>
            </w:pPr>
          </w:p>
        </w:tc>
        <w:tc>
          <w:tcPr>
            <w:tcW w:w="1164" w:type="pct"/>
            <w:vAlign w:val="center"/>
          </w:tcPr>
          <w:p>
            <w:pPr>
              <w:jc w:val="center"/>
              <w:rPr>
                <w:rFonts w:ascii="宋体" w:eastAsia="宋体" w:hAnsi="宋体" w:cs="宋体"/>
                <w:sz w:val="21"/>
                <w:szCs w:val="21"/>
              </w:rPr>
            </w:pPr>
          </w:p>
        </w:tc>
        <w:tc>
          <w:tcPr>
            <w:tcW w:w="833" w:type="pct"/>
            <w:vAlign w:val="center"/>
          </w:tcPr>
          <w:p>
            <w:pPr>
              <w:jc w:val="center"/>
              <w:rPr>
                <w:rFonts w:ascii="宋体" w:eastAsia="宋体" w:hAnsi="宋体" w:cs="宋体"/>
                <w:sz w:val="21"/>
                <w:szCs w:val="21"/>
              </w:rPr>
            </w:pPr>
          </w:p>
        </w:tc>
        <w:tc>
          <w:tcPr>
            <w:tcW w:w="501" w:type="pct"/>
            <w:vAlign w:val="center"/>
          </w:tcPr>
          <w:p>
            <w:pPr>
              <w:jc w:val="center"/>
              <w:rPr>
                <w:rFonts w:ascii="宋体" w:eastAsia="宋体" w:hAnsi="宋体" w:cs="宋体"/>
                <w:sz w:val="21"/>
                <w:szCs w:val="21"/>
              </w:rPr>
            </w:pPr>
          </w:p>
        </w:tc>
      </w:tr>
    </w:tbl>
    <w:p>
      <w:pPr>
        <w:pStyle w:val="NormalIndent"/>
      </w:pPr>
    </w:p>
    <w:p>
      <w:pPr>
        <w:rPr>
          <w:b/>
          <w:bCs/>
          <w:color w:val="0000FF"/>
        </w:rPr>
      </w:pPr>
      <w:bookmarkStart w:id="58" w:name="_Hlk72095977"/>
      <w:r>
        <w:rPr>
          <w:rFonts w:hint="eastAsia"/>
          <w:b/>
          <w:bCs/>
          <w:color w:val="0000FF"/>
        </w:rPr>
        <w:t>证明资料【如有的话，供应商提供的证明资料应统一编号（排序），格式自定】</w:t>
      </w:r>
      <w:bookmarkEnd w:id="58"/>
      <w:r>
        <w:rPr>
          <w:rFonts w:hint="eastAsia"/>
          <w:b/>
          <w:bCs/>
          <w:color w:val="0000FF"/>
        </w:rPr>
        <w:t>：</w:t>
      </w:r>
    </w:p>
    <w:p>
      <w:pPr>
        <w:ind w:firstLine="480" w:firstLineChars="200"/>
        <w:rPr>
          <w:b/>
        </w:rPr>
      </w:pPr>
    </w:p>
    <w:p>
      <w:pPr>
        <w:ind w:firstLine="480" w:firstLineChars="200"/>
        <w:rPr>
          <w:b/>
        </w:rPr>
      </w:pPr>
    </w:p>
    <w:p>
      <w:pPr>
        <w:ind w:firstLine="480" w:firstLineChars="200"/>
        <w:rPr>
          <w:b/>
        </w:rPr>
      </w:pPr>
      <w:r>
        <w:rPr>
          <w:rFonts w:hint="eastAsia"/>
          <w:b/>
        </w:rPr>
        <w:t>《</w:t>
      </w:r>
      <w:r>
        <w:rPr>
          <w:rFonts w:eastAsia="宋体" w:hint="eastAsia"/>
          <w:b/>
          <w:lang w:eastAsia="zh-CN"/>
        </w:rPr>
        <w:t>技术规格偏离表</w:t>
      </w:r>
      <w:r>
        <w:rPr>
          <w:rFonts w:hint="eastAsia"/>
          <w:b/>
        </w:rPr>
        <w:t>》编制指引：</w:t>
      </w:r>
    </w:p>
    <w:p>
      <w:pPr>
        <w:ind w:firstLine="480" w:firstLineChars="200"/>
        <w:rPr>
          <w:b/>
        </w:rPr>
      </w:pPr>
      <w:r>
        <w:rPr>
          <w:rFonts w:hint="eastAsia"/>
          <w:b/>
        </w:rPr>
        <w:t>1、</w:t>
      </w:r>
      <w:r>
        <w:rPr>
          <w:rFonts w:eastAsia="宋体" w:hint="eastAsia"/>
          <w:b/>
          <w:lang w:eastAsia="zh-CN"/>
        </w:rPr>
        <w:t>技术规格偏离表</w:t>
      </w:r>
      <w:r>
        <w:rPr>
          <w:rFonts w:hint="eastAsia"/>
          <w:b/>
        </w:rPr>
        <w:t>的序号、货物名称、招标技术要求等栏目</w:t>
      </w:r>
      <w:bookmarkStart w:id="59" w:name="_Hlk72094407"/>
      <w:r>
        <w:rPr>
          <w:rFonts w:hint="eastAsia"/>
          <w:b/>
        </w:rPr>
        <w:t>对应“用户需求书”中的“技术要求”章节</w:t>
      </w:r>
      <w:bookmarkEnd w:id="59"/>
      <w:r>
        <w:rPr>
          <w:rFonts w:hint="eastAsia"/>
          <w:b/>
        </w:rPr>
        <w:t>相关内容。</w:t>
      </w:r>
    </w:p>
    <w:p>
      <w:pPr>
        <w:ind w:firstLine="480" w:firstLineChars="200"/>
        <w:rPr>
          <w:b/>
        </w:rPr>
      </w:pPr>
      <w:r>
        <w:rPr>
          <w:b/>
        </w:rPr>
        <w:t>2</w:t>
      </w:r>
      <w:r>
        <w:rPr>
          <w:rFonts w:hint="eastAsia"/>
          <w:b/>
        </w:rPr>
        <w:t>、“投标技术响应”一栏必须一一对照“招标技术要求”，详细填写投标人自身投标货物的具体参数，而不能不合理照搬照抄招标文件的技术要求，以体现具体响应情况。</w:t>
      </w:r>
    </w:p>
    <w:p>
      <w:pPr>
        <w:ind w:firstLine="480" w:firstLineChars="200"/>
        <w:rPr>
          <w:b/>
        </w:rPr>
      </w:pPr>
      <w:r>
        <w:rPr>
          <w:b/>
        </w:rPr>
        <w:t>3</w:t>
      </w:r>
      <w:r>
        <w:rPr>
          <w:rFonts w:hint="eastAsia"/>
          <w:b/>
        </w:rPr>
        <w:t>、</w:t>
      </w:r>
      <w:bookmarkStart w:id="60" w:name="_Hlk72158270"/>
      <w:r>
        <w:rPr>
          <w:rFonts w:hint="eastAsia"/>
          <w:b/>
        </w:rPr>
        <w:t>“偏离情况”</w:t>
      </w:r>
      <w:bookmarkEnd w:id="60"/>
      <w:r>
        <w:rPr>
          <w:rFonts w:hint="eastAsia"/>
          <w:b/>
        </w:rPr>
        <w:t>一栏填写如实填写“正偏离</w:t>
      </w:r>
      <w:r>
        <w:rPr>
          <w:rFonts w:eastAsia="宋体" w:hint="eastAsia"/>
          <w:b/>
          <w:lang w:eastAsia="zh-CN"/>
        </w:rPr>
        <w:t>”“</w:t>
      </w:r>
      <w:r>
        <w:rPr>
          <w:rFonts w:hint="eastAsia"/>
          <w:b/>
        </w:rPr>
        <w:t>负偏离”或“无偏离”，其中：</w:t>
      </w:r>
      <w:bookmarkStart w:id="61" w:name="_Hlk72093866"/>
      <w:r>
        <w:rPr>
          <w:rFonts w:hint="eastAsia"/>
          <w:b/>
        </w:rPr>
        <w:t>“正偏离”表示“投标响应优于招标技术要求”，“负偏离”表示“投标响应不满足招标技术要求”，“无偏离”表示“投标响应与招标技术要求一致”</w:t>
      </w:r>
      <w:bookmarkEnd w:id="61"/>
      <w:r>
        <w:rPr>
          <w:rFonts w:hint="eastAsia"/>
          <w:b/>
        </w:rPr>
        <w:t>。“投标技术响应”对比“招标技术要求”存在响应不全（包括未响应整项招标技术要求或者未响应一项招标技术要求的部分内容），均视为“负偏离”。</w:t>
      </w:r>
    </w:p>
    <w:p>
      <w:pPr>
        <w:ind w:firstLine="480" w:firstLineChars="200"/>
        <w:rPr>
          <w:b/>
        </w:rPr>
      </w:pPr>
      <w:r>
        <w:rPr>
          <w:b/>
        </w:rPr>
        <w:t>4</w:t>
      </w:r>
      <w:r>
        <w:rPr>
          <w:rFonts w:hint="eastAsia"/>
          <w:b/>
        </w:rPr>
        <w:t>、未要求提供证明资料的招标技术要求，可以不提供证明资料（如实响应即可）。</w:t>
      </w:r>
    </w:p>
    <w:p>
      <w:pPr>
        <w:ind w:firstLine="480" w:firstLineChars="200"/>
        <w:rPr>
          <w:b/>
        </w:rPr>
      </w:pPr>
      <w:r>
        <w:rPr>
          <w:rFonts w:hint="eastAsia"/>
          <w:b/>
        </w:rPr>
        <w:t>5、</w:t>
      </w:r>
      <w:bookmarkStart w:id="62" w:name="_Hlk72096106"/>
      <w:r>
        <w:rPr>
          <w:rFonts w:hint="eastAsia"/>
          <w:b/>
        </w:rPr>
        <w:t>证明资料条款响应要求</w:t>
      </w:r>
      <w:bookmarkEnd w:id="62"/>
      <w:r>
        <w:rPr>
          <w:rFonts w:hint="eastAsia"/>
          <w:b/>
        </w:rPr>
        <w:t>：要求提供证明资料（且已对证明资料的形式、内容作出明确要求）进行响应的条款，应当在“说明”一栏中列明是否提供了符合要求的证明资料，以及所提供证明资料在表后“证明资料”中的编号（位置）</w:t>
      </w:r>
      <w:r>
        <w:rPr>
          <w:rFonts w:eastAsia="宋体" w:hint="eastAsia"/>
          <w:b/>
          <w:lang w:eastAsia="zh-CN"/>
        </w:rPr>
        <w:t>，</w:t>
      </w:r>
      <w:r>
        <w:rPr>
          <w:rFonts w:hint="eastAsia"/>
          <w:b/>
        </w:rPr>
        <w:t>以便评审；</w:t>
      </w:r>
      <w:bookmarkStart w:id="63" w:name="_Hlk73558782"/>
      <w:r>
        <w:rPr>
          <w:rFonts w:hint="eastAsia"/>
          <w:b/>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64" w:name="_Hlk73558164"/>
      <w:r>
        <w:rPr>
          <w:rFonts w:hint="eastAsia"/>
          <w:b/>
        </w:rPr>
        <w:t>且投标人在“偏离情况”一栏响应为“正偏离”或“无偏离”的，经评审委员会认定，将判定为负偏离。</w:t>
      </w:r>
      <w:bookmarkEnd w:id="63"/>
      <w:bookmarkEnd w:id="64"/>
    </w:p>
    <w:p>
      <w:pPr>
        <w:ind w:firstLine="480" w:firstLineChars="200"/>
        <w:rPr>
          <w:b/>
        </w:rPr>
      </w:pPr>
      <w:r>
        <w:rPr>
          <w:rFonts w:hint="eastAsia"/>
          <w:b/>
        </w:rPr>
        <w:t>6、</w:t>
      </w:r>
      <w:bookmarkStart w:id="65" w:name="_Hlk72096137"/>
      <w:r>
        <w:rPr>
          <w:rFonts w:hint="eastAsia"/>
          <w:b/>
        </w:rPr>
        <w:t>表后“证明资料”部分内容的编制</w:t>
      </w:r>
      <w:bookmarkEnd w:id="65"/>
      <w:r>
        <w:rPr>
          <w:rFonts w:hint="eastAsia"/>
          <w:b/>
        </w:rPr>
        <w:t>：提供的所有证明资料应当统一编号（排序），且证明资料的编号（顺序）、数量和名称（形式）均应与“说明”一栏所填内容保持一致（一一对应），以便评审委员会查看。</w:t>
      </w:r>
      <w:bookmarkStart w:id="66" w:name="_Hlk73558180"/>
      <w:r>
        <w:rPr>
          <w:rFonts w:hint="eastAsia"/>
          <w:b/>
        </w:rPr>
        <w:t>未按照招标文件要求在表后放置证明材料的供应商将承担不利后果，经评审委员会认定，相关技术要求将判定为负偏离。</w:t>
      </w:r>
      <w:bookmarkEnd w:id="66"/>
    </w:p>
    <w:p>
      <w:pPr>
        <w:ind w:firstLine="480" w:firstLineChars="200"/>
        <w:rPr>
          <w:b/>
        </w:rPr>
      </w:pPr>
      <w:r>
        <w:rPr>
          <w:rFonts w:hint="eastAsia"/>
          <w:b/>
        </w:rPr>
        <w:t>7、</w:t>
      </w:r>
      <w:bookmarkStart w:id="67" w:name="_Hlk72096176"/>
      <w:r>
        <w:rPr>
          <w:rFonts w:hint="eastAsia"/>
          <w:b/>
        </w:rPr>
        <w:t>证明资料的形式</w:t>
      </w:r>
      <w:r>
        <w:rPr>
          <w:rFonts w:eastAsia="宋体" w:hint="eastAsia"/>
          <w:b/>
          <w:lang w:eastAsia="zh-CN"/>
        </w:rPr>
        <w:t>及其他</w:t>
      </w:r>
      <w:r>
        <w:rPr>
          <w:rFonts w:hint="eastAsia"/>
          <w:b/>
        </w:rPr>
        <w:t>具体要求</w:t>
      </w:r>
      <w:bookmarkEnd w:id="67"/>
      <w:r>
        <w:rPr>
          <w:rFonts w:hint="eastAsia"/>
          <w:b/>
        </w:rPr>
        <w:t>：</w:t>
      </w:r>
    </w:p>
    <w:p>
      <w:pPr>
        <w:ind w:firstLine="480" w:firstLineChars="200"/>
        <w:rPr>
          <w:b/>
        </w:rPr>
      </w:pPr>
      <w:r>
        <w:rPr>
          <w:rFonts w:hint="eastAsia"/>
          <w:b/>
        </w:rPr>
        <w:t>（1）除照片、图片（截图）及不需加盖公章的文字说明（技术说明）外，</w:t>
      </w:r>
      <w:r>
        <w:rPr>
          <w:rFonts w:eastAsia="宋体" w:hint="eastAsia"/>
          <w:b/>
          <w:lang w:eastAsia="zh-CN"/>
        </w:rPr>
        <w:t>其他证明</w:t>
      </w:r>
      <w:r>
        <w:rPr>
          <w:rFonts w:hint="eastAsia"/>
          <w:b/>
        </w:rPr>
        <w:t>资料均要求为原件扫描件；</w:t>
      </w:r>
    </w:p>
    <w:p>
      <w:pPr>
        <w:ind w:firstLine="480" w:firstLineChars="200"/>
        <w:rPr>
          <w:b/>
        </w:rPr>
      </w:pPr>
      <w:r>
        <w:rPr>
          <w:rFonts w:hint="eastAsia"/>
          <w:b/>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80" w:firstLineChars="200"/>
        <w:rPr>
          <w:b/>
        </w:rPr>
      </w:pPr>
      <w:r>
        <w:rPr>
          <w:rFonts w:hint="eastAsia"/>
          <w:b/>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80" w:firstLineChars="200"/>
        <w:rPr>
          <w:b/>
        </w:rPr>
      </w:pPr>
      <w:r>
        <w:rPr>
          <w:rFonts w:hint="eastAsia"/>
          <w:b/>
        </w:rPr>
        <w:t>我国政府机构出具的产品检验和核准证件应为证件正面、背面和附件标注的全部具体内容；产品检验和核准证件的尺寸和清晰度应该能够在电脑上被阅读、识别和判断；</w:t>
      </w:r>
    </w:p>
    <w:p>
      <w:pPr>
        <w:ind w:firstLine="480" w:firstLineChars="200"/>
        <w:rPr>
          <w:b/>
        </w:rPr>
      </w:pPr>
      <w:r>
        <w:rPr>
          <w:rFonts w:hint="eastAsia"/>
          <w:b/>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80" w:firstLineChars="200"/>
        <w:rPr>
          <w:b/>
        </w:rPr>
      </w:pPr>
      <w:r>
        <w:rPr>
          <w:rFonts w:eastAsia="宋体" w:hint="eastAsia"/>
          <w:b/>
          <w:lang w:eastAsia="zh-CN"/>
        </w:rPr>
        <w:t>其他证明</w:t>
      </w:r>
      <w:r>
        <w:rPr>
          <w:rFonts w:hint="eastAsia"/>
          <w:b/>
        </w:rPr>
        <w:t>资料的形式要求参照以上要求执行；</w:t>
      </w:r>
    </w:p>
    <w:p>
      <w:pPr>
        <w:ind w:firstLine="480" w:firstLineChars="200"/>
        <w:rPr>
          <w:b/>
        </w:rPr>
      </w:pPr>
      <w:r>
        <w:rPr>
          <w:rFonts w:hint="eastAsia"/>
          <w:b/>
        </w:rPr>
        <w:t>（4）证明资料均要求原件备查。</w:t>
      </w:r>
    </w:p>
    <w:p>
      <w:pPr>
        <w:ind w:firstLine="480" w:firstLineChars="200"/>
        <w:rPr>
          <w:b/>
        </w:rPr>
      </w:pPr>
      <w:r>
        <w:rPr>
          <w:rFonts w:hint="eastAsia"/>
          <w:b/>
        </w:rPr>
        <w:t>8、</w:t>
      </w:r>
      <w:r>
        <w:rPr>
          <w:rFonts w:eastAsia="宋体" w:hint="eastAsia"/>
          <w:b/>
          <w:lang w:eastAsia="zh-CN"/>
        </w:rPr>
        <w:t>其他</w:t>
      </w:r>
      <w:r>
        <w:rPr>
          <w:rFonts w:hint="eastAsia"/>
          <w:b/>
        </w:rPr>
        <w:t>注意事项：</w:t>
      </w:r>
    </w:p>
    <w:p>
      <w:pPr>
        <w:ind w:firstLine="480" w:firstLineChars="200"/>
        <w:rPr>
          <w:b/>
        </w:rPr>
      </w:pPr>
      <w:r>
        <w:rPr>
          <w:rFonts w:hint="eastAsia"/>
          <w:b/>
        </w:rPr>
        <w:t>（1）评审委员会有权对投标人的响应情况作出判断（评审结论）；</w:t>
      </w:r>
    </w:p>
    <w:p>
      <w:pPr>
        <w:ind w:firstLine="480" w:firstLineChars="200"/>
        <w:rPr>
          <w:b/>
        </w:rPr>
      </w:pPr>
      <w:r>
        <w:rPr>
          <w:rFonts w:hint="eastAsia"/>
          <w:b/>
        </w:rPr>
        <w:t>（2）</w:t>
      </w:r>
      <w:bookmarkStart w:id="68" w:name="_Hlk72158213"/>
      <w:r>
        <w:rPr>
          <w:rFonts w:hint="eastAsia"/>
          <w:b/>
        </w:rPr>
        <w:t>评审委员会有权对以谋取中标为目的的技术规格模糊响应（如有意不合理照搬照抄招标文件的技术要求）或虚假响应予以认定，并视情况经采购代理机构报主管部门进行处理。</w:t>
      </w:r>
      <w:bookmarkEnd w:id="68"/>
    </w:p>
    <w:p>
      <w:pPr>
        <w:ind w:firstLine="480" w:firstLineChars="200"/>
        <w:rPr>
          <w:b/>
        </w:rPr>
      </w:pPr>
    </w:p>
    <w:p>
      <w:pPr>
        <w:pStyle w:val="Heading4"/>
        <w:jc w:val="center"/>
        <w:rPr>
          <w:rFonts w:ascii="黑体" w:cs="Times New Roman" w:hint="eastAsia"/>
          <w:b w:val="0"/>
          <w:sz w:val="24"/>
          <w:szCs w:val="24"/>
          <w:lang w:val="en-US" w:eastAsia="zh-CN"/>
        </w:rPr>
      </w:pPr>
      <w:r>
        <w:rPr>
          <w:rFonts w:ascii="黑体" w:cs="Times New Roman" w:hint="eastAsia"/>
          <w:b w:val="0"/>
          <w:sz w:val="24"/>
          <w:szCs w:val="24"/>
          <w:lang w:val="en-US" w:eastAsia="zh-CN"/>
        </w:rPr>
        <w:t>六、</w:t>
      </w:r>
      <w:bookmarkStart w:id="69" w:name="_Hlk72260576"/>
      <w:r>
        <w:rPr>
          <w:rFonts w:ascii="黑体" w:cs="Times New Roman" w:hint="eastAsia"/>
          <w:b w:val="0"/>
          <w:sz w:val="24"/>
          <w:szCs w:val="24"/>
          <w:lang w:val="en-US" w:eastAsia="zh-CN"/>
        </w:rPr>
        <w:t>实施团队人员情况</w:t>
      </w:r>
    </w:p>
    <w:p>
      <w:pPr>
        <w:pStyle w:val="Heading4"/>
        <w:jc w:val="center"/>
        <w:rPr>
          <w:rFonts w:ascii="黑体" w:cs="Times New Roman" w:hint="eastAsia"/>
          <w:b w:val="0"/>
          <w:sz w:val="24"/>
          <w:szCs w:val="24"/>
          <w:lang w:val="en-US" w:eastAsia="zh-CN"/>
        </w:rPr>
      </w:pPr>
      <w:r>
        <w:rPr>
          <w:rFonts w:ascii="黑体" w:cs="Times New Roman" w:hint="eastAsia"/>
          <w:b w:val="0"/>
          <w:sz w:val="24"/>
          <w:szCs w:val="24"/>
          <w:lang w:val="en-US" w:eastAsia="zh-CN"/>
        </w:rPr>
        <w:t>七、质量及安全保障能力</w:t>
      </w:r>
    </w:p>
    <w:p>
      <w:pPr>
        <w:pStyle w:val="Heading4"/>
        <w:jc w:val="center"/>
        <w:rPr>
          <w:rFonts w:ascii="黑体" w:cs="Times New Roman" w:hint="eastAsia"/>
          <w:b w:val="0"/>
          <w:sz w:val="24"/>
          <w:szCs w:val="24"/>
          <w:lang w:val="en-US" w:eastAsia="zh-CN"/>
        </w:rPr>
      </w:pPr>
      <w:r>
        <w:rPr>
          <w:rFonts w:ascii="黑体" w:cs="Times New Roman" w:hint="eastAsia"/>
          <w:b w:val="0"/>
          <w:sz w:val="24"/>
          <w:szCs w:val="24"/>
          <w:lang w:val="en-US" w:eastAsia="zh-CN"/>
        </w:rPr>
        <w:t>八、现场演示情况</w:t>
      </w:r>
    </w:p>
    <w:p>
      <w:pPr>
        <w:pStyle w:val="Heading4"/>
        <w:jc w:val="center"/>
      </w:pPr>
      <w:r>
        <w:rPr>
          <w:rFonts w:ascii="黑体" w:cs="Times New Roman" w:hint="eastAsia"/>
          <w:b w:val="0"/>
          <w:sz w:val="24"/>
          <w:szCs w:val="24"/>
          <w:lang w:val="en-US" w:eastAsia="zh-CN"/>
        </w:rPr>
        <w:t>九、售后服务方案</w:t>
      </w:r>
    </w:p>
    <w:p>
      <w:pPr>
        <w:pStyle w:val="Heading4"/>
        <w:jc w:val="center"/>
        <w:rPr>
          <w:rFonts w:ascii="黑体"/>
          <w:b w:val="0"/>
          <w:bCs w:val="0"/>
          <w:sz w:val="24"/>
          <w:szCs w:val="20"/>
        </w:rPr>
      </w:pPr>
      <w:bookmarkEnd w:id="69"/>
      <w:r>
        <w:rPr>
          <w:rFonts w:ascii="黑体" w:hint="eastAsia"/>
          <w:b w:val="0"/>
          <w:sz w:val="24"/>
          <w:szCs w:val="24"/>
          <w:lang w:val="en-US" w:eastAsia="zh-CN"/>
        </w:rPr>
        <w:t>十</w:t>
      </w:r>
      <w:r>
        <w:rPr>
          <w:rFonts w:ascii="黑体" w:hint="eastAsia"/>
          <w:b w:val="0"/>
          <w:bCs w:val="0"/>
          <w:sz w:val="24"/>
          <w:szCs w:val="20"/>
        </w:rPr>
        <w:t>、投标人认为需要加以说明的其他内容（不公开）</w:t>
      </w:r>
    </w:p>
    <w:p>
      <w:pPr>
        <w:pStyle w:val="BodyText"/>
      </w:pPr>
    </w:p>
    <w:p/>
    <w:p>
      <w:pPr>
        <w:pStyle w:val="Heading2"/>
        <w:numPr>
          <w:ilvl w:val="0"/>
          <w:numId w:val="1"/>
        </w:numPr>
        <w:rPr>
          <w:rFonts w:cs="宋体"/>
          <w:sz w:val="36"/>
          <w:szCs w:val="36"/>
        </w:rPr>
      </w:pPr>
      <w:r>
        <w:br w:type="page"/>
      </w:r>
      <w:r>
        <w:rPr>
          <w:rFonts w:cs="宋体" w:hint="eastAsia"/>
          <w:sz w:val="36"/>
          <w:szCs w:val="36"/>
        </w:rPr>
        <w:t xml:space="preserve"> 合同条款及格式</w:t>
      </w:r>
    </w:p>
    <w:p>
      <w:pPr>
        <w:ind w:firstLine="470" w:firstLineChars="196"/>
      </w:pPr>
    </w:p>
    <w:p>
      <w:pPr>
        <w:jc w:val="center"/>
      </w:pPr>
      <w:bookmarkStart w:id="70" w:name="_Hlk72574405"/>
      <w:r>
        <w:rPr>
          <w:rFonts w:hint="eastAsia"/>
          <w:b/>
        </w:rPr>
        <w:t>（仅供参考，具体以项目需求及采购结果为准）</w:t>
      </w:r>
      <w:bookmarkEnd w:id="70"/>
    </w:p>
    <w:p>
      <w:pPr>
        <w:ind w:firstLine="470" w:firstLineChars="196"/>
        <w:jc w:val="center"/>
      </w:pPr>
      <w:bookmarkStart w:id="71" w:name="_Toc73521592"/>
      <w:bookmarkStart w:id="72" w:name="_Toc101074886"/>
      <w:bookmarkStart w:id="73" w:name="_Toc73518163"/>
      <w:bookmarkStart w:id="74" w:name="_Toc73517685"/>
      <w:bookmarkStart w:id="75" w:name="_Toc73521680"/>
      <w:bookmarkStart w:id="76" w:name="_Toc100052414"/>
      <w:bookmarkStart w:id="77" w:name="_Toc84303603"/>
    </w:p>
    <w:p>
      <w:pPr>
        <w:rPr>
          <w:rFonts w:ascii="宋体" w:hAnsi="宋体"/>
          <w:b/>
          <w:bCs/>
          <w:szCs w:val="21"/>
        </w:rPr>
      </w:pPr>
      <w:bookmarkEnd w:id="71"/>
      <w:bookmarkEnd w:id="72"/>
      <w:bookmarkEnd w:id="73"/>
      <w:bookmarkEnd w:id="74"/>
      <w:bookmarkEnd w:id="75"/>
      <w:bookmarkEnd w:id="76"/>
      <w:bookmarkEnd w:id="77"/>
      <w:r>
        <w:rPr>
          <w:rFonts w:ascii="宋体" w:hAnsi="宋体" w:hint="eastAsia"/>
          <w:b/>
          <w:bCs/>
          <w:szCs w:val="21"/>
        </w:rPr>
        <w:t>甲方：</w:t>
      </w:r>
    </w:p>
    <w:p>
      <w:pPr>
        <w:rPr>
          <w:rFonts w:ascii="宋体" w:hAnsi="宋体"/>
          <w:szCs w:val="21"/>
        </w:rPr>
      </w:pPr>
      <w:bookmarkStart w:id="78" w:name="_Hlk75014453"/>
      <w:r>
        <w:rPr>
          <w:rFonts w:ascii="宋体" w:hAnsi="宋体" w:hint="eastAsia"/>
          <w:szCs w:val="21"/>
        </w:rPr>
        <w:t>地址：</w:t>
      </w:r>
    </w:p>
    <w:p>
      <w:pPr>
        <w:rPr>
          <w:rFonts w:ascii="宋体" w:hAnsi="宋体"/>
          <w:szCs w:val="21"/>
        </w:rPr>
      </w:pPr>
      <w:r>
        <w:rPr>
          <w:rFonts w:ascii="宋体" w:hAnsi="宋体" w:hint="eastAsia"/>
          <w:szCs w:val="21"/>
        </w:rPr>
        <w:t>联系人：</w:t>
      </w:r>
    </w:p>
    <w:p>
      <w:pPr>
        <w:rPr>
          <w:rFonts w:ascii="宋体" w:hAnsi="宋体"/>
          <w:b/>
          <w:bCs/>
          <w:szCs w:val="21"/>
        </w:rPr>
      </w:pPr>
      <w:r>
        <w:rPr>
          <w:rFonts w:ascii="宋体" w:hAnsi="宋体" w:hint="eastAsia"/>
          <w:szCs w:val="21"/>
        </w:rPr>
        <w:t>联系电话：</w:t>
      </w:r>
      <w:bookmarkEnd w:id="78"/>
    </w:p>
    <w:p>
      <w:pPr>
        <w:rPr>
          <w:rFonts w:ascii="宋体" w:hAnsi="宋体"/>
          <w:b/>
          <w:bCs/>
          <w:szCs w:val="21"/>
        </w:rPr>
      </w:pPr>
    </w:p>
    <w:p>
      <w:pPr>
        <w:rPr>
          <w:rFonts w:ascii="宋体" w:hAnsi="宋体"/>
          <w:b/>
          <w:bCs/>
          <w:szCs w:val="21"/>
        </w:rPr>
      </w:pPr>
      <w:r>
        <w:rPr>
          <w:rFonts w:ascii="宋体" w:hAnsi="宋体" w:hint="eastAsia"/>
          <w:b/>
          <w:bCs/>
          <w:szCs w:val="21"/>
        </w:rPr>
        <w:t>乙方：</w:t>
      </w:r>
    </w:p>
    <w:p>
      <w:pPr>
        <w:rPr>
          <w:rFonts w:ascii="宋体" w:hAnsi="宋体"/>
          <w:szCs w:val="21"/>
        </w:rPr>
      </w:pPr>
      <w:r>
        <w:rPr>
          <w:rFonts w:ascii="宋体" w:hAnsi="宋体" w:hint="eastAsia"/>
          <w:szCs w:val="21"/>
        </w:rPr>
        <w:t>地址：</w:t>
      </w:r>
    </w:p>
    <w:p>
      <w:pPr>
        <w:rPr>
          <w:rFonts w:ascii="宋体" w:hAnsi="宋体"/>
          <w:szCs w:val="21"/>
        </w:rPr>
      </w:pPr>
      <w:r>
        <w:rPr>
          <w:rFonts w:ascii="宋体" w:hAnsi="宋体" w:hint="eastAsia"/>
          <w:szCs w:val="21"/>
        </w:rPr>
        <w:t>联系人：</w:t>
      </w:r>
    </w:p>
    <w:p>
      <w:pPr>
        <w:rPr>
          <w:rFonts w:ascii="宋体" w:hAnsi="宋体"/>
          <w:szCs w:val="21"/>
        </w:rPr>
      </w:pPr>
      <w:r>
        <w:rPr>
          <w:rFonts w:ascii="宋体" w:hAnsi="宋体" w:hint="eastAsia"/>
          <w:szCs w:val="21"/>
        </w:rPr>
        <w:t>联系电话：</w:t>
      </w:r>
    </w:p>
    <w:p>
      <w:pPr>
        <w:rPr>
          <w:rFonts w:ascii="宋体" w:hAnsi="宋体"/>
          <w:szCs w:val="21"/>
        </w:rPr>
      </w:pPr>
    </w:p>
    <w:p>
      <w:pPr>
        <w:spacing w:line="360" w:lineRule="auto"/>
        <w:ind w:firstLine="560"/>
        <w:rPr>
          <w:szCs w:val="21"/>
        </w:rPr>
      </w:pPr>
      <w:bookmarkStart w:id="79" w:name="_Hlk72574434"/>
      <w:r>
        <w:rPr>
          <w:rFonts w:ascii="宋体" w:eastAsia="宋体" w:hAnsi="宋体" w:cs="宋体" w:hint="eastAsia"/>
          <w:szCs w:val="21"/>
        </w:rPr>
        <w:t>根据正采（深圳）招标代理有限公司就***项目（项目编号：***）的招标结果，***单位为中标人。</w:t>
      </w:r>
      <w:bookmarkEnd w:id="79"/>
      <w:r>
        <w:rPr>
          <w:rFonts w:ascii="宋体" w:eastAsia="宋体" w:hAnsi="宋体" w:cs="宋体" w:hint="eastAsia"/>
          <w:szCs w:val="21"/>
        </w:rPr>
        <w:t>按照《中华人民共和国民法典》（第三编合同）和《深圳经济特区政府采购条例》，经深圳市（以下简称甲方）和单位（以下简称乙方）协商，达成以下合同条款：</w:t>
      </w:r>
    </w:p>
    <w:p>
      <w:pPr>
        <w:spacing w:line="276" w:lineRule="auto"/>
        <w:rPr>
          <w:b/>
          <w:bCs/>
        </w:rPr>
      </w:pPr>
      <w:r>
        <w:rPr>
          <w:rFonts w:hint="eastAsia"/>
          <w:b/>
          <w:bCs/>
        </w:rPr>
        <w:t>第一条  合同标的</w:t>
      </w:r>
    </w:p>
    <w:p>
      <w:pPr>
        <w:spacing w:line="276" w:lineRule="auto"/>
      </w:pPr>
      <w:r>
        <w:rPr>
          <w:rFonts w:hint="eastAsia"/>
        </w:rPr>
        <w:t>乙方根据甲方需求提供下列货物：</w:t>
      </w:r>
    </w:p>
    <w:p>
      <w:pPr>
        <w:spacing w:line="276" w:lineRule="auto"/>
      </w:pPr>
      <w:r>
        <w:rPr>
          <w:rFonts w:hint="eastAsia"/>
        </w:rPr>
        <w:t>货物名称、规格及数量详见。</w:t>
      </w:r>
    </w:p>
    <w:p>
      <w:pPr>
        <w:spacing w:line="276" w:lineRule="auto"/>
        <w:rPr>
          <w:b/>
          <w:bCs/>
        </w:rPr>
      </w:pPr>
      <w:r>
        <w:rPr>
          <w:rFonts w:hint="eastAsia"/>
          <w:b/>
          <w:bCs/>
        </w:rPr>
        <w:t>第二条  合同价款</w:t>
      </w:r>
    </w:p>
    <w:p>
      <w:pPr>
        <w:spacing w:line="276" w:lineRule="auto"/>
      </w:pPr>
      <w:r>
        <w:rPr>
          <w:rFonts w:hint="eastAsia"/>
        </w:rPr>
        <w:t>本合同项下总价款为（大写）人民币，分项价款详见。本合同总价款已包括乙方为履行本合同义务所发生的一切费用，系固定不变价格，且不随通货膨胀的影响而波动。</w:t>
      </w:r>
    </w:p>
    <w:p>
      <w:pPr>
        <w:spacing w:line="276" w:lineRule="auto"/>
        <w:rPr>
          <w:b/>
          <w:bCs/>
        </w:rPr>
      </w:pPr>
      <w:r>
        <w:rPr>
          <w:rFonts w:hint="eastAsia"/>
          <w:b/>
          <w:bCs/>
        </w:rPr>
        <w:t>第三条  履行期限</w:t>
      </w:r>
    </w:p>
    <w:p>
      <w:pPr>
        <w:spacing w:line="276" w:lineRule="auto"/>
      </w:pPr>
      <w:r>
        <w:rPr>
          <w:rFonts w:hint="eastAsia"/>
        </w:rPr>
        <w:t>乙方应于本合同签订之</w:t>
      </w:r>
      <w:r>
        <w:rPr>
          <w:rFonts w:eastAsia="宋体" w:hint="eastAsia"/>
          <w:lang w:eastAsia="zh-CN"/>
        </w:rPr>
        <w:t>日</w:t>
      </w:r>
      <w:r>
        <w:rPr>
          <w:rFonts w:eastAsia="宋体" w:hint="eastAsia"/>
          <w:lang w:val="en-US" w:eastAsia="zh-CN"/>
        </w:rPr>
        <w:t xml:space="preserve"> </w:t>
      </w:r>
      <w:r>
        <w:rPr>
          <w:rFonts w:eastAsia="宋体" w:hint="eastAsia"/>
          <w:u w:val="single"/>
          <w:lang w:val="en-US" w:eastAsia="zh-CN"/>
        </w:rPr>
        <w:t xml:space="preserve">         </w:t>
      </w:r>
      <w:r>
        <w:rPr>
          <w:rFonts w:hint="eastAsia"/>
        </w:rPr>
        <w:t>日内将符合要求的产品向甲方交付（含安装调试），但乙方交付前</w:t>
      </w:r>
      <w:r>
        <w:rPr>
          <w:rFonts w:eastAsia="宋体" w:hint="eastAsia"/>
          <w:lang w:eastAsia="zh-CN"/>
        </w:rPr>
        <w:t>应</w:t>
      </w:r>
      <w:r>
        <w:rPr>
          <w:rFonts w:hint="eastAsia"/>
        </w:rPr>
        <w:t>书面通知甲方并征得甲方同意。</w:t>
      </w:r>
    </w:p>
    <w:p>
      <w:pPr>
        <w:spacing w:line="276" w:lineRule="auto"/>
        <w:rPr>
          <w:b/>
          <w:bCs/>
        </w:rPr>
      </w:pPr>
      <w:r>
        <w:rPr>
          <w:rFonts w:hint="eastAsia"/>
          <w:b/>
          <w:bCs/>
        </w:rPr>
        <w:t>第四条  权利保证</w:t>
      </w:r>
    </w:p>
    <w:p>
      <w:pPr>
        <w:spacing w:line="276" w:lineRule="auto"/>
      </w:pPr>
      <w:r>
        <w:rPr>
          <w:rFonts w:hint="eastAsia"/>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pPr>
        <w:spacing w:line="276" w:lineRule="auto"/>
        <w:rPr>
          <w:b/>
          <w:bCs/>
        </w:rPr>
      </w:pPr>
      <w:r>
        <w:rPr>
          <w:rFonts w:hint="eastAsia"/>
          <w:b/>
          <w:bCs/>
        </w:rPr>
        <w:t>第五条  质量保证</w:t>
      </w:r>
    </w:p>
    <w:p>
      <w:pPr>
        <w:spacing w:line="276" w:lineRule="auto"/>
      </w:pPr>
      <w:r>
        <w:rPr>
          <w:rFonts w:hint="eastAsia"/>
        </w:rPr>
        <w:t>1、乙方所提供的货物的技术规格符合招标文件规定的技术规格，货物符合中华人民共和国的设计和制造生产标准或行业标准。</w:t>
      </w:r>
    </w:p>
    <w:p>
      <w:pPr>
        <w:spacing w:line="276" w:lineRule="auto"/>
      </w:pPr>
      <w:r>
        <w:rPr>
          <w:rFonts w:hint="eastAsia"/>
        </w:rPr>
        <w:t>2、乙方应保证货物是全新、未使用过的原装合格正品（包括零部件），并完全符合甲方要求的质量、规格和性能的要求。如货物安装或配置了软件的，乙方保证相关软件均为正版软件。</w:t>
      </w:r>
    </w:p>
    <w:p>
      <w:pPr>
        <w:spacing w:line="276" w:lineRule="auto"/>
      </w:pPr>
      <w:r>
        <w:rPr>
          <w:rFonts w:hint="eastAsia"/>
        </w:rPr>
        <w:t>3、乙方保证交货时一并提供货物的质量合格凭证或文件。</w:t>
      </w:r>
    </w:p>
    <w:p>
      <w:pPr>
        <w:spacing w:line="276" w:lineRule="auto"/>
        <w:rPr>
          <w:b/>
          <w:bCs/>
        </w:rPr>
      </w:pPr>
      <w:r>
        <w:rPr>
          <w:rFonts w:hint="eastAsia"/>
          <w:b/>
          <w:bCs/>
        </w:rPr>
        <w:t>第六条  交货和验收</w:t>
      </w:r>
    </w:p>
    <w:p>
      <w:pPr>
        <w:spacing w:line="276" w:lineRule="auto"/>
      </w:pPr>
      <w:r>
        <w:rPr>
          <w:rFonts w:hint="eastAsia"/>
        </w:rPr>
        <w:t>1、乙方应按照本合同或招投标文件规定的时间和方式向甲方交付货物，交货地点由甲方指定。因交货产生的费用由乙方自行承担。</w:t>
      </w:r>
    </w:p>
    <w:p>
      <w:pPr>
        <w:spacing w:line="276" w:lineRule="auto"/>
      </w:pPr>
      <w:r>
        <w:rPr>
          <w:rFonts w:hint="eastAsia"/>
        </w:rPr>
        <w:t>2、乙方交付的货物应当完全符合招投标文件所规定的货物、数量、质量和规格要求。乙方提供的货物不符合招投标文件和合同规定的，甲方有权拒收货物，由此引起的风险，由乙方承担。</w:t>
      </w:r>
    </w:p>
    <w:p>
      <w:pPr>
        <w:spacing w:line="276" w:lineRule="auto"/>
      </w:pPr>
      <w:r>
        <w:rPr>
          <w:rFonts w:hint="eastAsia"/>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pPr>
        <w:spacing w:line="276" w:lineRule="auto"/>
      </w:pPr>
      <w:r>
        <w:rPr>
          <w:rFonts w:hint="eastAsia"/>
        </w:rPr>
        <w:t>4、乙方应在到货（安装、调试</w:t>
      </w:r>
      <w:r>
        <w:rPr>
          <w:rFonts w:eastAsia="宋体" w:hint="eastAsia"/>
          <w:lang w:eastAsia="zh-CN"/>
        </w:rPr>
        <w:t>完成</w:t>
      </w:r>
      <w:r>
        <w:rPr>
          <w:rFonts w:hint="eastAsia"/>
        </w:rPr>
        <w:t>）后  日内向甲方发出验收申请。甲方应当在收到申请  日内组织验收，验收合格的，由甲方向乙方签署货物验收单。验收合格的，由甲方向乙方签署货物验收单。甲方逾期未组织验收，也未提出异议的，视为验收合格。需要安装调试的，安装调试完毕验收合格后才视为最终验收合格和满足付款条件。</w:t>
      </w:r>
    </w:p>
    <w:p>
      <w:pPr>
        <w:spacing w:line="276" w:lineRule="auto"/>
      </w:pPr>
      <w:r>
        <w:rPr>
          <w:rFonts w:hint="eastAsia"/>
        </w:rPr>
        <w:t>5、货物的所有权和灭失的风险自乙方将货物交付给甲方时转移。</w:t>
      </w:r>
    </w:p>
    <w:p>
      <w:pPr>
        <w:spacing w:line="276" w:lineRule="auto"/>
        <w:rPr>
          <w:b/>
          <w:bCs/>
        </w:rPr>
      </w:pPr>
      <w:r>
        <w:rPr>
          <w:rFonts w:hint="eastAsia"/>
          <w:b/>
          <w:bCs/>
        </w:rPr>
        <w:t>第七条  保修及其他服务</w:t>
      </w:r>
    </w:p>
    <w:p>
      <w:pPr>
        <w:spacing w:line="276" w:lineRule="auto"/>
      </w:pPr>
      <w:r>
        <w:rPr>
          <w:rFonts w:hint="eastAsia"/>
        </w:rPr>
        <w:t>1、乙方应按照国家有关法律法规规章和“三包”规定和招标文件的要求及乙方在投标文件的相关承诺提供保修及其他服务。</w:t>
      </w:r>
    </w:p>
    <w:p>
      <w:pPr>
        <w:spacing w:line="276" w:lineRule="auto"/>
      </w:pPr>
      <w:r>
        <w:rPr>
          <w:rFonts w:hint="eastAsia"/>
        </w:rPr>
        <w:t>2、保修期内，乙方负责对其提供的货物进行维修和系统维护，不再收取任何费用。所有货物保修服务方式均为乙方上门保修，即由乙方派员到货物使用现场维修，由此产生的一切费用均由乙方承担。保修期后的货物维护另行协商。</w:t>
      </w:r>
    </w:p>
    <w:p>
      <w:pPr>
        <w:spacing w:line="276" w:lineRule="auto"/>
      </w:pPr>
      <w:r>
        <w:rPr>
          <w:rFonts w:hint="eastAsia"/>
        </w:rPr>
        <w:t>3、在甲方提出维修要求后，乙方应于  小时内响应，  小时维修到位，并在  小时内消除故障。消耗品和零配件供应及时，特殊情况下可提供备用机。</w:t>
      </w:r>
    </w:p>
    <w:p>
      <w:pPr>
        <w:spacing w:line="276" w:lineRule="auto"/>
        <w:rPr>
          <w:b/>
          <w:bCs/>
        </w:rPr>
      </w:pPr>
      <w:r>
        <w:rPr>
          <w:rFonts w:hint="eastAsia"/>
          <w:b/>
          <w:bCs/>
        </w:rPr>
        <w:t>第八条 保密条款</w:t>
      </w:r>
    </w:p>
    <w:p>
      <w:pPr>
        <w:spacing w:line="276" w:lineRule="auto"/>
      </w:pPr>
      <w:r>
        <w:rPr>
          <w:rFonts w:hint="eastAsia"/>
        </w:rPr>
        <w:t>1、乙方对在本合同履行中获取或者知悉甲方提供的资料、信息负有保密义务。</w:t>
      </w:r>
    </w:p>
    <w:p>
      <w:pPr>
        <w:spacing w:line="276" w:lineRule="auto"/>
      </w:pPr>
      <w:r>
        <w:rPr>
          <w:rFonts w:hint="eastAsia"/>
        </w:rPr>
        <w:t>2、乙方不得私自复印、留存、泄漏本合同履行有关的资料、信息。除非依照法律规定或者经甲方书面同意，乙方不得向第三方提供或披露由甲方提供的资料和信息，也不得用于本合同履行以外的其他用途，并保证采取一切合理和必要的措施防止任何第三方接触到甲方的上述资料和信息。</w:t>
      </w:r>
    </w:p>
    <w:p>
      <w:pPr>
        <w:spacing w:line="276" w:lineRule="auto"/>
      </w:pPr>
      <w:r>
        <w:rPr>
          <w:rFonts w:hint="eastAsia"/>
        </w:rPr>
        <w:t>3、保密期限自本协议签订生效之日起至保密信息被依法公开披露或成为公开信息之日止。合同中止、终止或者解除不视为免除保密义务，乙方仍应当承担保密义务。</w:t>
      </w:r>
    </w:p>
    <w:p>
      <w:pPr>
        <w:spacing w:line="276" w:lineRule="auto"/>
        <w:rPr>
          <w:b/>
          <w:bCs/>
        </w:rPr>
      </w:pPr>
      <w:r>
        <w:rPr>
          <w:rFonts w:hint="eastAsia"/>
          <w:b/>
          <w:bCs/>
        </w:rPr>
        <w:t>第九条  履约保证金</w:t>
      </w:r>
    </w:p>
    <w:p>
      <w:pPr>
        <w:spacing w:line="276" w:lineRule="auto"/>
      </w:pPr>
      <w:r>
        <w:rPr>
          <w:rFonts w:hint="eastAsia"/>
        </w:rPr>
        <w:t>1、乙方应在签订本合同之日，向甲方或甲方指定的机构提交履约保证金_________元。</w:t>
      </w:r>
    </w:p>
    <w:p>
      <w:pPr>
        <w:spacing w:line="276" w:lineRule="auto"/>
      </w:pPr>
      <w:r>
        <w:rPr>
          <w:rFonts w:hint="eastAsia"/>
        </w:rPr>
        <w:t>2、如乙方未能履行合同规定的义务，甲方有权从履约保证金中取得补偿。</w:t>
      </w:r>
    </w:p>
    <w:p>
      <w:pPr>
        <w:spacing w:line="276" w:lineRule="auto"/>
      </w:pPr>
      <w:r>
        <w:rPr>
          <w:rFonts w:hint="eastAsia"/>
        </w:rPr>
        <w:t>3、甲方在乙方履行完毕本合同项下全部义务后______天内无息退还乙方。</w:t>
      </w:r>
    </w:p>
    <w:p>
      <w:pPr>
        <w:spacing w:line="276" w:lineRule="auto"/>
        <w:rPr>
          <w:b/>
          <w:bCs/>
        </w:rPr>
      </w:pPr>
      <w:r>
        <w:rPr>
          <w:rFonts w:hint="eastAsia"/>
          <w:b/>
          <w:bCs/>
        </w:rPr>
        <w:t>第十条  货款支付</w:t>
      </w:r>
    </w:p>
    <w:p>
      <w:pPr>
        <w:spacing w:line="276" w:lineRule="auto"/>
      </w:pPr>
      <w:r>
        <w:rPr>
          <w:rFonts w:hint="eastAsia"/>
        </w:rPr>
        <w:t>（详见商务要求）</w:t>
      </w:r>
    </w:p>
    <w:p>
      <w:pPr>
        <w:spacing w:line="276" w:lineRule="auto"/>
      </w:pPr>
    </w:p>
    <w:p>
      <w:pPr>
        <w:spacing w:line="276" w:lineRule="auto"/>
        <w:rPr>
          <w:b/>
          <w:bCs/>
        </w:rPr>
      </w:pPr>
      <w:r>
        <w:rPr>
          <w:rFonts w:hint="eastAsia"/>
          <w:b/>
          <w:bCs/>
        </w:rPr>
        <w:t>第十一条 违约责任（详见商务要求）</w:t>
      </w:r>
    </w:p>
    <w:p>
      <w:pPr>
        <w:spacing w:line="276" w:lineRule="auto"/>
      </w:pPr>
      <w:r>
        <w:rPr>
          <w:rFonts w:hint="eastAsia"/>
        </w:rPr>
        <w:t>１、甲方无正当理由拒收货物、拒付货物款的，由甲方向乙方偿付合同总价的【】%违约金。</w:t>
      </w:r>
    </w:p>
    <w:p>
      <w:pPr>
        <w:spacing w:line="276" w:lineRule="auto"/>
      </w:pPr>
      <w:r>
        <w:rPr>
          <w:rFonts w:hint="eastAsia"/>
        </w:rPr>
        <w:t>２、甲方未按合同规定的期限向乙方支付货款的，每逾期1天甲方向乙方偿付欠款总额的【】‰滞纳金，但累计滞纳金总额不超过欠款总额的【】% 。</w:t>
      </w:r>
    </w:p>
    <w:p>
      <w:pPr>
        <w:spacing w:line="276" w:lineRule="auto"/>
      </w:pPr>
      <w:r>
        <w:rPr>
          <w:rFonts w:hint="eastAsia"/>
        </w:rPr>
        <w:t>３、乙方逾期交付货物的，每逾期1天，乙方向甲方偿付逾期交货部分货款总额的【】‰的滞纳金。如乙方逾期交货达天，甲方有权解除合同，履约保证金不予退回，同时乙方应向甲方支付合同总价【】％的违约金。</w:t>
      </w:r>
    </w:p>
    <w:p>
      <w:pPr>
        <w:spacing w:line="276" w:lineRule="auto"/>
      </w:pPr>
      <w:r>
        <w:rPr>
          <w:rFonts w:hint="eastAsia"/>
        </w:rPr>
        <w:t>4、经甲方验收不合格的，甲方有权拒收。乙方经修理或者更换后仍不合格的，甲方有权解除合同，要求乙方返还甲方已支付的合同款项，并有权要求乙方按合同总额【】％支付违约金。5、在乙方承诺的或国家规定的质量保证期内（取两者中最长的期限），如经乙方两次维修或更换，货物仍不能达到合同约定的质量标准，甲方有权退货，乙方应退回全部货款并赔偿甲方因此遭受的损失。</w:t>
      </w:r>
    </w:p>
    <w:p>
      <w:pPr>
        <w:spacing w:line="276" w:lineRule="auto"/>
      </w:pPr>
      <w:r>
        <w:rPr>
          <w:rFonts w:hint="eastAsia"/>
        </w:rPr>
        <w:t>6.</w:t>
      </w:r>
      <w:bookmarkStart w:id="80" w:name="_Hlk75014743"/>
      <w:r>
        <w:rPr>
          <w:rFonts w:hint="eastAsia"/>
        </w:rPr>
        <w:t>乙方违反本合同约定的保密义务，甲方有权要求乙方按合同总额【】%支付违约金；造成不良影响或对甲方造成损失的，甲方有权要求乙方消除影响，承担赔偿责任，并有权解除合同。</w:t>
      </w:r>
      <w:bookmarkEnd w:id="80"/>
    </w:p>
    <w:p>
      <w:pPr>
        <w:spacing w:line="276" w:lineRule="auto"/>
      </w:pPr>
      <w:r>
        <w:rPr>
          <w:rFonts w:hint="eastAsia"/>
        </w:rPr>
        <w:t>7、</w:t>
      </w:r>
      <w:bookmarkStart w:id="81" w:name="_Hlk75015079"/>
      <w:r>
        <w:rPr>
          <w:rFonts w:hint="eastAsia"/>
        </w:rPr>
        <w:t>因乙方提供的产品受到侵权指控或者引发法律纠纷，影响甲方正常使用或者导致合同目的不能实现的，甲方有权要求乙方按合同总额【】%支付违约金，并有权解除合同。</w:t>
      </w:r>
      <w:bookmarkEnd w:id="81"/>
    </w:p>
    <w:p>
      <w:pPr>
        <w:spacing w:line="276" w:lineRule="auto"/>
      </w:pPr>
      <w:r>
        <w:rPr>
          <w:rFonts w:hint="eastAsia"/>
        </w:rPr>
        <w:t>8、乙方未履行本合同项下的其他义务或违反其在投标文件中的相关承诺的，应按合同总价款的【】%向甲方承担违约责任。</w:t>
      </w:r>
    </w:p>
    <w:p>
      <w:pPr>
        <w:spacing w:line="276" w:lineRule="auto"/>
      </w:pPr>
      <w:r>
        <w:rPr>
          <w:rFonts w:hint="eastAsia"/>
        </w:rPr>
        <w:t>9、乙方在承担上述一项或多项违约责任后，仍应继续履行合同规定的义务（甲方解除合同的除外）。甲方未能及时追究乙方的任何一项违约责任并不表明甲方放弃追究乙方该项或其他违约责任。</w:t>
      </w:r>
    </w:p>
    <w:p>
      <w:pPr>
        <w:spacing w:line="276" w:lineRule="auto"/>
        <w:rPr>
          <w:b/>
          <w:bCs/>
        </w:rPr>
      </w:pPr>
      <w:r>
        <w:rPr>
          <w:rFonts w:hint="eastAsia"/>
          <w:b/>
          <w:bCs/>
        </w:rPr>
        <w:t>第十二条    合同的变更和终止</w:t>
      </w:r>
    </w:p>
    <w:p>
      <w:pPr>
        <w:spacing w:line="276" w:lineRule="auto"/>
      </w:pPr>
      <w:r>
        <w:rPr>
          <w:rFonts w:hint="eastAsia"/>
        </w:rPr>
        <w:t>除</w:t>
      </w:r>
      <w:bookmarkStart w:id="82" w:name="_Hlk75015119"/>
      <w:r>
        <w:rPr>
          <w:rFonts w:hint="eastAsia"/>
        </w:rPr>
        <w:t>《深圳经济特区政府采购条例》第40条、</w:t>
      </w:r>
      <w:bookmarkEnd w:id="82"/>
      <w:r>
        <w:rPr>
          <w:rFonts w:hint="eastAsia"/>
        </w:rPr>
        <w:t>《中华人民共和国政府采购法》第50条第二款规定或者主管部门另有政策规定的情形外，本合同一经签订，甲乙双方不得擅自变更、中止或终止合同。</w:t>
      </w:r>
    </w:p>
    <w:p>
      <w:pPr>
        <w:spacing w:line="276" w:lineRule="auto"/>
        <w:rPr>
          <w:b/>
          <w:bCs/>
        </w:rPr>
      </w:pPr>
      <w:r>
        <w:rPr>
          <w:rFonts w:hint="eastAsia"/>
          <w:b/>
          <w:bCs/>
        </w:rPr>
        <w:t>第十三条   争议的解决</w:t>
      </w:r>
    </w:p>
    <w:p>
      <w:pPr>
        <w:spacing w:line="276" w:lineRule="auto"/>
      </w:pPr>
      <w:r>
        <w:rPr>
          <w:rFonts w:hint="eastAsia"/>
        </w:rPr>
        <w:t>1、因货物的质量问题发生争议的，应当邀请国家认可的质量检测机构对货物质量进行鉴定。货物符合标准的，鉴定费由甲方承担；货物不符合质量标准的，鉴定费由乙方承担。</w:t>
      </w:r>
    </w:p>
    <w:p>
      <w:pPr>
        <w:spacing w:line="276" w:lineRule="auto"/>
      </w:pPr>
      <w:r>
        <w:rPr>
          <w:rFonts w:hint="eastAsia"/>
        </w:rPr>
        <w:t>2、因履行本合同引起的或与本合同有关的争议，甲、乙双方应首先通过友好协商解决，如果协商不能解决争议，则向甲方所在地有管辖权的人民法院提起诉讼；</w:t>
      </w:r>
    </w:p>
    <w:p>
      <w:pPr>
        <w:spacing w:line="276" w:lineRule="auto"/>
      </w:pPr>
      <w:r>
        <w:rPr>
          <w:rFonts w:hint="eastAsia"/>
        </w:rPr>
        <w:t>第十二条   合同生效及其他</w:t>
      </w:r>
    </w:p>
    <w:p>
      <w:pPr>
        <w:spacing w:line="276" w:lineRule="auto"/>
      </w:pPr>
      <w:r>
        <w:rPr>
          <w:rFonts w:hint="eastAsia"/>
        </w:rPr>
        <w:t>1、下列文件均为本合同的组成部分：</w:t>
      </w:r>
    </w:p>
    <w:p>
      <w:pPr>
        <w:spacing w:line="276" w:lineRule="auto"/>
      </w:pPr>
      <w:r>
        <w:rPr>
          <w:rFonts w:hint="eastAsia"/>
        </w:rPr>
        <w:t>（1）号招标文件、答疑及补充通知；</w:t>
      </w:r>
    </w:p>
    <w:p>
      <w:pPr>
        <w:spacing w:line="276" w:lineRule="auto"/>
      </w:pPr>
      <w:r>
        <w:rPr>
          <w:rFonts w:hint="eastAsia"/>
        </w:rPr>
        <w:t>（2）乙方的投标文件；</w:t>
      </w:r>
    </w:p>
    <w:p>
      <w:pPr>
        <w:spacing w:line="276" w:lineRule="auto"/>
      </w:pPr>
      <w:r>
        <w:rPr>
          <w:rFonts w:hint="eastAsia"/>
        </w:rPr>
        <w:t>（3）本合同执行中甲乙双方共同签署的补充与修正文件。</w:t>
      </w:r>
    </w:p>
    <w:p>
      <w:pPr>
        <w:spacing w:line="276" w:lineRule="auto"/>
      </w:pPr>
      <w:r>
        <w:rPr>
          <w:rFonts w:hint="eastAsia"/>
        </w:rPr>
        <w:t>2、本合同一式</w:t>
      </w:r>
      <w:r>
        <w:rPr>
          <w:rFonts w:eastAsia="宋体" w:hint="eastAsia"/>
          <w:u w:val="single"/>
          <w:lang w:val="en-US" w:eastAsia="zh-CN"/>
        </w:rPr>
        <w:t xml:space="preserve">        </w:t>
      </w:r>
      <w:r>
        <w:rPr>
          <w:rFonts w:hint="eastAsia"/>
        </w:rPr>
        <w:t>份，甲、乙方双方各执</w:t>
      </w:r>
      <w:r>
        <w:rPr>
          <w:rFonts w:eastAsia="宋体" w:hint="eastAsia"/>
          <w:u w:val="single"/>
          <w:lang w:val="en-US" w:eastAsia="zh-CN"/>
        </w:rPr>
        <w:t xml:space="preserve">     </w:t>
      </w:r>
      <w:r>
        <w:rPr>
          <w:rFonts w:hint="eastAsia"/>
        </w:rPr>
        <w:t>份，具有同等法律效力。本合同自双方法定代表人（或授权代表）签字并盖章之日起生效。</w:t>
      </w:r>
    </w:p>
    <w:p>
      <w:pPr>
        <w:spacing w:line="360" w:lineRule="auto"/>
        <w:ind w:firstLine="560"/>
        <w:rPr>
          <w:rFonts w:ascii="宋体" w:hAnsi="宋体"/>
          <w:szCs w:val="21"/>
        </w:rPr>
      </w:pPr>
    </w:p>
    <w:p>
      <w:pPr>
        <w:spacing w:line="360" w:lineRule="auto"/>
        <w:ind w:firstLine="560"/>
        <w:rPr>
          <w:rFonts w:ascii="宋体" w:hAnsi="宋体"/>
          <w:szCs w:val="21"/>
        </w:rPr>
      </w:pPr>
    </w:p>
    <w:p>
      <w:pPr>
        <w:spacing w:line="360" w:lineRule="auto"/>
        <w:ind w:firstLine="560"/>
        <w:rPr>
          <w:rFonts w:ascii="宋体" w:hAnsi="宋体"/>
          <w:szCs w:val="21"/>
        </w:rPr>
      </w:pPr>
      <w:r>
        <w:rPr>
          <w:rFonts w:ascii="宋体" w:hAnsi="宋体" w:hint="eastAsia"/>
          <w:szCs w:val="21"/>
        </w:rPr>
        <w:t>甲方（采购人）：   （盖章）       乙方（供应商）：    （盖章）</w:t>
      </w:r>
    </w:p>
    <w:p>
      <w:pPr>
        <w:spacing w:line="360" w:lineRule="auto"/>
        <w:ind w:firstLine="560"/>
        <w:rPr>
          <w:rFonts w:ascii="宋体" w:hAnsi="宋体"/>
          <w:szCs w:val="21"/>
        </w:rPr>
      </w:pPr>
      <w:r>
        <w:rPr>
          <w:rFonts w:ascii="宋体" w:hAnsi="宋体" w:hint="eastAsia"/>
          <w:szCs w:val="21"/>
        </w:rPr>
        <w:t xml:space="preserve">法定代表人：                     法定代表人： </w:t>
      </w:r>
    </w:p>
    <w:p>
      <w:pPr>
        <w:spacing w:line="360" w:lineRule="auto"/>
        <w:ind w:firstLine="560"/>
        <w:rPr>
          <w:rFonts w:ascii="宋体" w:hAnsi="宋体"/>
          <w:szCs w:val="21"/>
        </w:rPr>
      </w:pPr>
      <w:r>
        <w:rPr>
          <w:rFonts w:ascii="宋体" w:hAnsi="宋体" w:hint="eastAsia"/>
          <w:szCs w:val="21"/>
        </w:rPr>
        <w:t>委托代理人：                     委托代理人：</w:t>
      </w:r>
    </w:p>
    <w:p>
      <w:pPr>
        <w:ind w:firstLine="600" w:firstLineChars="250"/>
        <w:rPr>
          <w:rFonts w:ascii="宋体" w:hAnsi="宋体"/>
          <w:b/>
          <w:szCs w:val="21"/>
        </w:rPr>
      </w:pPr>
      <w:r>
        <w:rPr>
          <w:rFonts w:ascii="宋体" w:hAnsi="宋体" w:hint="eastAsia"/>
          <w:szCs w:val="21"/>
        </w:rPr>
        <w:t>日期：   年     月    日         日期：   年     月    日</w:t>
      </w:r>
    </w:p>
    <w:p/>
    <w:p/>
    <w:p>
      <w:r>
        <w:rPr>
          <w:rFonts w:ascii="宋体" w:hAnsi="宋体"/>
          <w:szCs w:val="21"/>
        </w:rPr>
        <w:br w:type="page"/>
      </w:r>
    </w:p>
    <w:p>
      <w:pPr>
        <w:pStyle w:val="Heading1"/>
        <w:rPr>
          <w:rFonts w:eastAsia="宋体" w:cs="宋体"/>
          <w:sz w:val="44"/>
        </w:rPr>
      </w:pPr>
      <w:r>
        <w:rPr>
          <w:rFonts w:eastAsia="宋体" w:cs="宋体" w:hint="eastAsia"/>
          <w:sz w:val="44"/>
        </w:rPr>
        <w:t>第二册  通用条款（公开招标）</w:t>
      </w:r>
    </w:p>
    <w:p>
      <w:pPr>
        <w:pStyle w:val="Heading2"/>
        <w:numPr>
          <w:ilvl w:val="0"/>
          <w:numId w:val="4"/>
        </w:numPr>
        <w:spacing w:before="120" w:beforeLines="50" w:after="120" w:afterLines="50"/>
        <w:ind w:left="562" w:hanging="562"/>
        <w:rPr>
          <w:sz w:val="36"/>
          <w:szCs w:val="36"/>
        </w:rPr>
      </w:pPr>
      <w:bookmarkStart w:id="83" w:name="_Hlk72399513"/>
      <w:r>
        <w:rPr>
          <w:rFonts w:hint="eastAsia"/>
          <w:sz w:val="36"/>
          <w:szCs w:val="36"/>
        </w:rPr>
        <w:t>总则</w:t>
      </w:r>
    </w:p>
    <w:p>
      <w:pPr>
        <w:outlineLvl w:val="2"/>
        <w:rPr>
          <w:rFonts w:ascii="黑体" w:eastAsia="黑体" w:hAnsi="宋体"/>
        </w:rPr>
      </w:pPr>
      <w:bookmarkEnd w:id="83"/>
      <w:r>
        <w:rPr>
          <w:rFonts w:ascii="黑体" w:eastAsia="黑体" w:hAnsi="宋体" w:hint="eastAsia"/>
        </w:rPr>
        <w:t>1. 通用条款说明</w:t>
      </w:r>
    </w:p>
    <w:p>
      <w:pPr>
        <w:ind w:firstLine="470" w:firstLineChars="196"/>
        <w:rPr>
          <w:rFonts w:ascii="宋体" w:hAnsi="宋体"/>
          <w:szCs w:val="21"/>
        </w:rPr>
      </w:pPr>
      <w:r>
        <w:rPr>
          <w:rFonts w:ascii="宋体" w:hAnsi="宋体" w:hint="eastAsia"/>
          <w:szCs w:val="21"/>
        </w:rPr>
        <w:t>1.1采购代理机构发出招标文件通用条款版本，列出深圳市政府采购项目进行招标采购所适用的通用条款内容。</w:t>
      </w:r>
      <w:bookmarkStart w:id="84" w:name="_Hlk72399729"/>
      <w:r>
        <w:rPr>
          <w:rFonts w:ascii="宋体" w:hAnsi="宋体" w:hint="eastAsia"/>
          <w:szCs w:val="21"/>
        </w:rPr>
        <w:t>如有需要，采购代理机构可以对通用条款的内容进行补充。</w:t>
      </w:r>
      <w:bookmarkEnd w:id="84"/>
    </w:p>
    <w:p>
      <w:pPr>
        <w:ind w:firstLine="470" w:firstLineChars="196"/>
        <w:rPr>
          <w:rFonts w:ascii="宋体" w:hAnsi="宋体"/>
          <w:szCs w:val="21"/>
        </w:rPr>
      </w:pPr>
      <w:r>
        <w:rPr>
          <w:rFonts w:ascii="宋体" w:hAnsi="宋体" w:hint="eastAsia"/>
          <w:szCs w:val="21"/>
        </w:rPr>
        <w:t>1.2招标文件分为第一册“专用条款”和第二册“通用条款”。</w:t>
      </w:r>
    </w:p>
    <w:p>
      <w:pPr>
        <w:ind w:firstLine="470" w:firstLineChars="196"/>
        <w:rPr>
          <w:rFonts w:ascii="宋体" w:hAnsi="宋体"/>
          <w:szCs w:val="21"/>
        </w:rPr>
      </w:pPr>
      <w:r>
        <w:rPr>
          <w:rFonts w:ascii="宋体" w:hAnsi="宋体" w:hint="eastAsia"/>
          <w:szCs w:val="21"/>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hAnsi="宋体"/>
          <w:szCs w:val="21"/>
        </w:rPr>
      </w:pPr>
      <w:r>
        <w:rPr>
          <w:rFonts w:ascii="宋体" w:hAnsi="宋体" w:hint="eastAsia"/>
          <w:szCs w:val="21"/>
        </w:rPr>
        <w:t>1.4“通用条款”是适用于政府采购公开招标项目的基础性条款，具有普遍性和通用性。</w:t>
      </w:r>
    </w:p>
    <w:p>
      <w:pPr>
        <w:ind w:firstLine="470" w:firstLineChars="196"/>
        <w:rPr>
          <w:rFonts w:ascii="宋体" w:hAnsi="宋体"/>
          <w:szCs w:val="21"/>
        </w:rPr>
      </w:pPr>
      <w:r>
        <w:rPr>
          <w:rFonts w:ascii="宋体" w:hAnsi="宋体" w:hint="eastAsia"/>
          <w:szCs w:val="21"/>
        </w:rPr>
        <w:t>1.5 “专用条款”和“通用条款”表述不一致或有冲突时，以“专用条款”为准。</w:t>
      </w:r>
    </w:p>
    <w:p>
      <w:pPr>
        <w:outlineLvl w:val="2"/>
        <w:rPr>
          <w:rFonts w:ascii="黑体" w:eastAsia="黑体" w:hAnsi="宋体"/>
        </w:rPr>
      </w:pPr>
      <w:r>
        <w:rPr>
          <w:rFonts w:ascii="黑体" w:eastAsia="黑体" w:hAnsi="宋体" w:hint="eastAsia"/>
        </w:rPr>
        <w:t>2</w:t>
      </w:r>
      <w:r>
        <w:rPr>
          <w:rFonts w:ascii="黑体" w:eastAsia="黑体" w:hAnsi="宋体"/>
        </w:rPr>
        <w:t>．</w:t>
      </w:r>
      <w:r>
        <w:rPr>
          <w:rFonts w:ascii="黑体" w:eastAsia="黑体" w:hAnsi="宋体" w:hint="eastAsia"/>
        </w:rPr>
        <w:t>招标说明</w:t>
      </w:r>
    </w:p>
    <w:p>
      <w:pPr>
        <w:ind w:firstLine="470" w:firstLineChars="196"/>
        <w:rPr>
          <w:rFonts w:ascii="宋体" w:hAnsi="宋体"/>
          <w:szCs w:val="21"/>
        </w:rPr>
      </w:pPr>
      <w:r>
        <w:rPr>
          <w:rFonts w:ascii="宋体" w:hAnsi="宋体" w:hint="eastAsia"/>
          <w:szCs w:val="21"/>
        </w:rPr>
        <w:t>本项目按照《深圳经济特区政府采购条例</w:t>
      </w:r>
      <w:r>
        <w:rPr>
          <w:rFonts w:ascii="宋体" w:eastAsia="宋体" w:hAnsi="宋体" w:hint="eastAsia"/>
          <w:szCs w:val="21"/>
          <w:lang w:eastAsia="zh-CN"/>
        </w:rPr>
        <w:t>》《</w:t>
      </w:r>
      <w:r>
        <w:rPr>
          <w:rFonts w:ascii="宋体" w:hAnsi="宋体" w:hint="eastAsia"/>
          <w:szCs w:val="21"/>
        </w:rPr>
        <w:t>深圳经济特区政府采购条例实施细则》及政府采购其他法律法规，通过</w:t>
      </w:r>
      <w:r>
        <w:rPr>
          <w:rFonts w:ascii="宋体" w:hAnsi="宋体" w:hint="eastAsia"/>
          <w:b/>
          <w:bCs/>
          <w:color w:val="FF0000"/>
          <w:szCs w:val="21"/>
        </w:rPr>
        <w:t>公开招标方式</w:t>
      </w:r>
      <w:r>
        <w:rPr>
          <w:rFonts w:ascii="宋体" w:hAnsi="宋体" w:hint="eastAsia"/>
          <w:szCs w:val="21"/>
        </w:rPr>
        <w:t>确定中标供应商。</w:t>
      </w:r>
    </w:p>
    <w:p>
      <w:pPr>
        <w:outlineLvl w:val="2"/>
        <w:rPr>
          <w:rFonts w:ascii="黑体" w:eastAsia="黑体" w:hAnsi="宋体"/>
        </w:rPr>
      </w:pPr>
      <w:r>
        <w:rPr>
          <w:rFonts w:ascii="黑体" w:eastAsia="黑体" w:hAnsi="宋体" w:hint="eastAsia"/>
        </w:rPr>
        <w:t>3．定义</w:t>
      </w:r>
    </w:p>
    <w:p>
      <w:pPr>
        <w:ind w:firstLine="480" w:firstLineChars="200"/>
        <w:rPr>
          <w:rFonts w:ascii="宋体" w:hAnsi="宋体"/>
          <w:szCs w:val="21"/>
        </w:rPr>
      </w:pPr>
      <w:r>
        <w:rPr>
          <w:rFonts w:ascii="宋体" w:hAnsi="宋体"/>
          <w:szCs w:val="21"/>
        </w:rPr>
        <w:t>招标文件中下列术语应解释为：</w:t>
      </w:r>
    </w:p>
    <w:p>
      <w:pPr>
        <w:ind w:firstLine="470" w:firstLineChars="196"/>
        <w:rPr>
          <w:rFonts w:ascii="宋体" w:hAnsi="宋体"/>
          <w:szCs w:val="21"/>
        </w:rPr>
      </w:pPr>
      <w:r>
        <w:rPr>
          <w:rFonts w:ascii="宋体" w:hAnsi="宋体" w:hint="eastAsia"/>
          <w:szCs w:val="21"/>
        </w:rPr>
        <w:t>3.</w:t>
      </w:r>
      <w:r>
        <w:rPr>
          <w:rFonts w:ascii="宋体" w:hAnsi="宋体"/>
          <w:szCs w:val="21"/>
        </w:rPr>
        <w:t>1</w:t>
      </w:r>
      <w:r>
        <w:rPr>
          <w:rFonts w:ascii="宋体" w:hAnsi="宋体" w:hint="eastAsia"/>
          <w:szCs w:val="21"/>
        </w:rPr>
        <w:t>“采购人”：指利用财政性资金依法进行政府采购的国家机关、事业单位、团体组织；</w:t>
      </w:r>
    </w:p>
    <w:p>
      <w:pPr>
        <w:ind w:firstLine="470" w:firstLineChars="196"/>
        <w:rPr>
          <w:rFonts w:ascii="宋体" w:hAnsi="宋体"/>
          <w:szCs w:val="21"/>
        </w:rPr>
      </w:pPr>
      <w:r>
        <w:rPr>
          <w:rFonts w:ascii="宋体" w:hAnsi="宋体" w:hint="eastAsia"/>
          <w:szCs w:val="21"/>
        </w:rPr>
        <w:t>3.2 “采购代理机构”：指依法设立、从事招标代理业务并提供相关服务的专门机构。本次招标的招标代理机构特指“正采（深圳）招标代理有限公司”。</w:t>
      </w:r>
    </w:p>
    <w:p>
      <w:pPr>
        <w:ind w:firstLine="470" w:firstLineChars="196"/>
        <w:rPr>
          <w:rFonts w:ascii="宋体" w:hAnsi="宋体"/>
          <w:szCs w:val="21"/>
        </w:rPr>
      </w:pPr>
      <w:r>
        <w:rPr>
          <w:rFonts w:ascii="宋体" w:hAnsi="宋体" w:hint="eastAsia"/>
          <w:szCs w:val="21"/>
        </w:rPr>
        <w:t>3.3“投标人”，即供应商，指参加投标竞争并愿意按照招标文件要求向采购人提供货物、工程或者服务的依法成立的法人、其他组织或者自然人；</w:t>
      </w:r>
    </w:p>
    <w:p>
      <w:pPr>
        <w:ind w:firstLine="470" w:firstLineChars="196"/>
        <w:rPr>
          <w:rFonts w:ascii="宋体" w:hAnsi="宋体"/>
          <w:szCs w:val="21"/>
        </w:rPr>
      </w:pPr>
      <w:r>
        <w:rPr>
          <w:rFonts w:ascii="宋体" w:hAnsi="宋体" w:hint="eastAsia"/>
          <w:szCs w:val="21"/>
        </w:rPr>
        <w:t>3.4“评审委员会”是依据《深圳经济特区政府采购条例</w:t>
      </w:r>
      <w:r>
        <w:rPr>
          <w:rFonts w:ascii="宋体" w:eastAsia="宋体" w:hAnsi="宋体" w:hint="eastAsia"/>
          <w:szCs w:val="21"/>
          <w:lang w:eastAsia="zh-CN"/>
        </w:rPr>
        <w:t>》《</w:t>
      </w:r>
      <w:r>
        <w:rPr>
          <w:rFonts w:ascii="宋体" w:hAnsi="宋体" w:hint="eastAsia"/>
          <w:szCs w:val="21"/>
        </w:rPr>
        <w:t>深圳经济特区政府采购条例实施细则》等有关规定组建的专门负责本次</w:t>
      </w:r>
      <w:r>
        <w:rPr>
          <w:rFonts w:ascii="宋体" w:eastAsia="宋体" w:hAnsi="宋体" w:hint="eastAsia"/>
          <w:szCs w:val="21"/>
          <w:lang w:eastAsia="zh-CN"/>
        </w:rPr>
        <w:t>招标</w:t>
      </w:r>
      <w:r>
        <w:rPr>
          <w:rFonts w:ascii="宋体" w:hAnsi="宋体" w:hint="eastAsia"/>
          <w:szCs w:val="21"/>
        </w:rPr>
        <w:t>评审工作的临时性机构；</w:t>
      </w:r>
    </w:p>
    <w:p>
      <w:pPr>
        <w:ind w:firstLine="470" w:firstLineChars="196"/>
        <w:rPr>
          <w:rFonts w:ascii="宋体" w:hAnsi="宋体"/>
          <w:szCs w:val="21"/>
        </w:rPr>
      </w:pPr>
      <w:r>
        <w:rPr>
          <w:rFonts w:ascii="宋体" w:hAnsi="宋体" w:hint="eastAsia"/>
          <w:szCs w:val="21"/>
        </w:rPr>
        <w:t>3.5“日期”</w:t>
      </w:r>
      <w:r>
        <w:rPr>
          <w:rFonts w:ascii="宋体" w:hAnsi="宋体"/>
          <w:szCs w:val="21"/>
        </w:rPr>
        <w:t>指</w:t>
      </w:r>
      <w:r>
        <w:rPr>
          <w:rFonts w:ascii="宋体" w:hAnsi="宋体" w:hint="eastAsia"/>
          <w:szCs w:val="21"/>
        </w:rPr>
        <w:t>公历日；</w:t>
      </w:r>
    </w:p>
    <w:p>
      <w:pPr>
        <w:ind w:firstLine="470" w:firstLineChars="196"/>
        <w:rPr>
          <w:rFonts w:ascii="宋体" w:hAnsi="宋体"/>
          <w:szCs w:val="21"/>
        </w:rPr>
      </w:pPr>
      <w:r>
        <w:rPr>
          <w:rFonts w:ascii="宋体" w:hAnsi="宋体" w:hint="eastAsia"/>
          <w:szCs w:val="21"/>
        </w:rPr>
        <w:t>3.6“合同”指由本次招标所产生的合同或合约文件；</w:t>
      </w:r>
    </w:p>
    <w:p>
      <w:pPr>
        <w:suppressAutoHyphens/>
        <w:wordWrap w:val="0"/>
        <w:ind w:firstLine="470" w:firstLineChars="196"/>
        <w:rPr>
          <w:rFonts w:ascii="宋体" w:hAnsi="宋体"/>
          <w:szCs w:val="21"/>
        </w:rPr>
      </w:pPr>
      <w:r>
        <w:rPr>
          <w:rFonts w:ascii="宋体" w:hAnsi="宋体" w:hint="eastAsia"/>
          <w:szCs w:val="21"/>
        </w:rPr>
        <w:t>3.7“电子投标文件”指利用深圳市政府采购网站提供的</w:t>
      </w:r>
      <w:r>
        <w:rPr>
          <w:rFonts w:ascii="宋体" w:hAnsi="宋体" w:hint="eastAsia"/>
        </w:rPr>
        <w:t>深圳智慧采购平台投标文件制作专用软件（以下简称：投标文件制作软件）制作并</w:t>
      </w:r>
      <w:r>
        <w:rPr>
          <w:rFonts w:ascii="宋体" w:hAnsi="宋体" w:hint="eastAsia"/>
          <w:szCs w:val="21"/>
        </w:rPr>
        <w:t>加密的投标文件</w:t>
      </w:r>
      <w:r>
        <w:rPr>
          <w:rFonts w:ascii="宋体" w:eastAsia="宋体" w:hAnsi="宋体" w:hint="eastAsia"/>
          <w:szCs w:val="21"/>
          <w:lang w:eastAsia="zh-CN"/>
        </w:rPr>
        <w:t>，</w:t>
      </w:r>
      <w:r>
        <w:rPr>
          <w:rFonts w:ascii="宋体" w:hAnsi="宋体" w:hint="eastAsia"/>
          <w:szCs w:val="21"/>
        </w:rPr>
        <w:t>适用于网上投标；（投标文件制作软件可从</w:t>
      </w:r>
      <w:r>
        <w:rPr>
          <w:rFonts w:hint="eastAsia"/>
        </w:rPr>
        <w:t>“</w:t>
      </w:r>
      <w:r>
        <w:rPr>
          <w:rFonts w:ascii="宋体" w:hAnsi="宋体" w:hint="eastAsia"/>
        </w:rPr>
        <w:t>下载地址：</w:t>
      </w:r>
      <w:r>
        <w:t>http://zfcg.szggzy.com:8081/cgxy/013002/20210923/173e0b2c-7a4c-4246-a0c7-e0ea75d84dd6.html</w:t>
      </w:r>
      <w:r>
        <w:rPr>
          <w:rFonts w:ascii="宋体" w:hAnsi="宋体" w:hint="eastAsia"/>
        </w:rPr>
        <w:t>深圳智慧采购平台投标文件制作专用软件.zip</w:t>
      </w:r>
      <w:r>
        <w:rPr>
          <w:rFonts w:hint="eastAsia"/>
        </w:rPr>
        <w:t>”</w:t>
      </w:r>
      <w:r>
        <w:rPr>
          <w:rFonts w:ascii="宋体" w:hAnsi="宋体" w:hint="eastAsia"/>
          <w:szCs w:val="21"/>
        </w:rPr>
        <w:t>下载）；</w:t>
      </w:r>
    </w:p>
    <w:p>
      <w:pPr>
        <w:ind w:firstLine="470" w:firstLineChars="196"/>
        <w:rPr>
          <w:rFonts w:ascii="宋体" w:hAnsi="宋体"/>
          <w:szCs w:val="21"/>
        </w:rPr>
      </w:pPr>
      <w:r>
        <w:rPr>
          <w:rFonts w:ascii="宋体" w:hAnsi="宋体" w:hint="eastAsia"/>
          <w:szCs w:val="21"/>
        </w:rPr>
        <w:t>3.8“网上投标”指通过深圳市政府采购网站上传电子投标文件；</w:t>
      </w:r>
    </w:p>
    <w:p>
      <w:pPr>
        <w:ind w:firstLine="470" w:firstLineChars="196"/>
        <w:rPr>
          <w:rFonts w:ascii="宋体" w:hAnsi="宋体"/>
          <w:szCs w:val="21"/>
        </w:rPr>
      </w:pPr>
      <w:r>
        <w:rPr>
          <w:rFonts w:ascii="宋体" w:hAnsi="宋体" w:hint="eastAsia"/>
          <w:szCs w:val="21"/>
        </w:rPr>
        <w:t>3.9招标文件中的标题或题名仅起引导作用，而不应视为对招标文件内容的理解和解释。</w:t>
      </w:r>
    </w:p>
    <w:p>
      <w:pPr>
        <w:outlineLvl w:val="2"/>
        <w:rPr>
          <w:rFonts w:ascii="黑体" w:eastAsia="黑体" w:hAnsi="宋体"/>
        </w:rPr>
      </w:pPr>
      <w:r>
        <w:rPr>
          <w:rFonts w:ascii="黑体" w:eastAsia="黑体" w:hAnsi="宋体" w:hint="eastAsia"/>
        </w:rPr>
        <w:t xml:space="preserve">4. </w:t>
      </w:r>
      <w:bookmarkStart w:id="85" w:name="_Hlk72398643"/>
      <w:r>
        <w:rPr>
          <w:rFonts w:ascii="黑体" w:eastAsia="黑体" w:hAnsi="宋体" w:hint="eastAsia"/>
        </w:rPr>
        <w:t>政府采购供应商责任</w:t>
      </w:r>
    </w:p>
    <w:p>
      <w:pPr>
        <w:ind w:firstLine="470" w:firstLineChars="196"/>
        <w:rPr>
          <w:rFonts w:ascii="宋体" w:hAnsi="宋体"/>
          <w:szCs w:val="21"/>
        </w:rPr>
      </w:pPr>
      <w:r>
        <w:rPr>
          <w:rFonts w:ascii="宋体" w:hAnsi="宋体" w:hint="eastAsia"/>
          <w:szCs w:val="21"/>
        </w:rPr>
        <w:t>4.1欢迎诚信、有实力和有社会责任心的供应商参与政府采购事业。</w:t>
      </w:r>
    </w:p>
    <w:p>
      <w:pPr>
        <w:ind w:firstLine="470" w:firstLineChars="196"/>
        <w:rPr>
          <w:rFonts w:ascii="宋体" w:hAnsi="宋体"/>
          <w:szCs w:val="21"/>
        </w:rPr>
      </w:pPr>
      <w:r>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pPr>
        <w:outlineLvl w:val="2"/>
        <w:rPr>
          <w:rFonts w:ascii="黑体" w:eastAsia="黑体" w:hAnsi="宋体"/>
        </w:rPr>
      </w:pPr>
      <w:r>
        <w:rPr>
          <w:rFonts w:ascii="黑体" w:eastAsia="黑体" w:hAnsi="宋体" w:hint="eastAsia"/>
        </w:rPr>
        <w:t>5．投标人参加政府采购的条件</w:t>
      </w:r>
    </w:p>
    <w:p>
      <w:pPr>
        <w:ind w:firstLine="470" w:firstLineChars="196"/>
        <w:rPr>
          <w:rFonts w:ascii="宋体" w:hAnsi="宋体"/>
          <w:szCs w:val="21"/>
        </w:rPr>
      </w:pPr>
      <w:r>
        <w:rPr>
          <w:rFonts w:ascii="宋体" w:hAnsi="宋体" w:hint="eastAsia"/>
          <w:szCs w:val="21"/>
        </w:rPr>
        <w:t>5.1投标人应在投标前到政府集中采购机构进行注册并办理电子密钥。《</w:t>
      </w:r>
      <w:r>
        <w:fldChar w:fldCharType="begin"/>
      </w:r>
      <w:r>
        <w:instrText xml:space="preserve"> HYPERLINK "file:///C:\\Users\\xiuziwong\\Desktop\\模板\\供应商注册及信息变更指引" </w:instrText>
      </w:r>
      <w:r>
        <w:fldChar w:fldCharType="separate"/>
      </w:r>
      <w:r>
        <w:rPr>
          <w:rStyle w:val="Hyperlink"/>
          <w:rFonts w:ascii="宋体" w:hAnsi="宋体"/>
          <w:szCs w:val="21"/>
        </w:rPr>
        <w:t>供应商注册及信息变更指引</w:t>
      </w:r>
      <w:r>
        <w:rPr>
          <w:rFonts w:ascii="宋体" w:hAnsi="宋体"/>
          <w:szCs w:val="21"/>
        </w:rPr>
        <w:fldChar w:fldCharType="end"/>
      </w:r>
      <w:r>
        <w:rPr>
          <w:rFonts w:ascii="宋体" w:hAnsi="宋体" w:hint="eastAsia"/>
          <w:szCs w:val="21"/>
        </w:rPr>
        <w:t>》详见</w:t>
      </w:r>
      <w:r>
        <w:t>http://zfcg.szggzy.com</w:t>
      </w:r>
      <w:r>
        <w:rPr>
          <w:rFonts w:eastAsia="宋体" w:hint="eastAsia"/>
          <w:lang w:eastAsia="zh-CN"/>
        </w:rPr>
        <w:t>/</w:t>
      </w:r>
    </w:p>
    <w:p>
      <w:pPr>
        <w:ind w:firstLine="470" w:firstLineChars="196"/>
        <w:rPr>
          <w:rFonts w:ascii="宋体" w:hAnsi="宋体"/>
          <w:szCs w:val="21"/>
        </w:rPr>
      </w:pPr>
      <w:r>
        <w:rPr>
          <w:rFonts w:ascii="宋体" w:hAnsi="宋体" w:hint="eastAsia"/>
          <w:szCs w:val="21"/>
        </w:rPr>
        <w:t>5.2投标人资格要求</w:t>
      </w:r>
    </w:p>
    <w:p>
      <w:pPr>
        <w:ind w:firstLine="470" w:firstLineChars="196"/>
        <w:rPr>
          <w:rFonts w:ascii="宋体" w:hAnsi="宋体"/>
          <w:szCs w:val="21"/>
        </w:rPr>
      </w:pPr>
      <w:r>
        <w:rPr>
          <w:rFonts w:ascii="宋体" w:hAnsi="宋体" w:hint="eastAsia"/>
          <w:szCs w:val="21"/>
        </w:rPr>
        <w:t>参加本项目的投标人应具备的资格条件详见本项目招标公告中 “投标人资格要求”（即申请人的资格要求）的内容。</w:t>
      </w:r>
    </w:p>
    <w:p>
      <w:pPr>
        <w:ind w:firstLine="470" w:firstLineChars="196"/>
        <w:rPr>
          <w:rFonts w:ascii="宋体" w:hAnsi="宋体"/>
          <w:szCs w:val="21"/>
        </w:rPr>
      </w:pPr>
      <w:r>
        <w:rPr>
          <w:rFonts w:ascii="宋体" w:hAnsi="宋体" w:hint="eastAsia"/>
          <w:szCs w:val="21"/>
        </w:rPr>
        <w:t>5.3联合体投标</w:t>
      </w:r>
    </w:p>
    <w:p>
      <w:pPr>
        <w:ind w:firstLine="470" w:firstLineChars="196"/>
        <w:rPr>
          <w:rFonts w:ascii="宋体" w:hAnsi="宋体"/>
          <w:szCs w:val="21"/>
        </w:rPr>
      </w:pPr>
      <w:r>
        <w:rPr>
          <w:rFonts w:ascii="宋体" w:hAnsi="宋体" w:hint="eastAsia"/>
          <w:szCs w:val="21"/>
        </w:rPr>
        <w:t>5.3.1　以下有关联合体投标的条款仅适用于允许投标人组成联合体投标的项目。</w:t>
      </w:r>
    </w:p>
    <w:p>
      <w:pPr>
        <w:ind w:firstLine="470" w:firstLineChars="196"/>
        <w:rPr>
          <w:rFonts w:ascii="宋体" w:hAnsi="宋体"/>
          <w:szCs w:val="21"/>
        </w:rPr>
      </w:pPr>
      <w:r>
        <w:rPr>
          <w:rFonts w:ascii="宋体" w:hAnsi="宋体" w:hint="eastAsia"/>
          <w:szCs w:val="21"/>
        </w:rPr>
        <w:t>5.3.2  由两个或两个以上的自然人、法人或者其他组织可以组成一个联合体，以一个供应商的身份共同投标时，应符合以下原则：</w:t>
      </w:r>
    </w:p>
    <w:p>
      <w:pPr>
        <w:ind w:firstLine="470" w:firstLineChars="196"/>
        <w:rPr>
          <w:rFonts w:ascii="宋体" w:hAnsi="宋体"/>
        </w:rPr>
      </w:pPr>
      <w:r>
        <w:rPr>
          <w:rFonts w:ascii="宋体" w:hAnsi="宋体" w:hint="eastAsia"/>
        </w:rPr>
        <w:t>（1）投标联合体各方参加政府采购活动应当具备下列条件：</w:t>
      </w:r>
    </w:p>
    <w:p>
      <w:pPr>
        <w:ind w:left="480" w:firstLine="470" w:leftChars="200" w:firstLineChars="196"/>
        <w:rPr>
          <w:rFonts w:ascii="宋体" w:hAnsi="宋体"/>
        </w:rPr>
      </w:pPr>
      <w:r>
        <w:rPr>
          <w:rFonts w:ascii="宋体" w:hAnsi="宋体" w:hint="eastAsia"/>
        </w:rPr>
        <w:t>1、具有独立承担民事责任的能力；</w:t>
      </w:r>
    </w:p>
    <w:p>
      <w:pPr>
        <w:ind w:left="420" w:firstLine="470" w:firstLineChars="196"/>
        <w:rPr>
          <w:rFonts w:ascii="宋体" w:hAnsi="宋体"/>
        </w:rPr>
      </w:pPr>
      <w:r>
        <w:rPr>
          <w:rFonts w:ascii="宋体" w:hAnsi="宋体" w:hint="eastAsia"/>
        </w:rPr>
        <w:t>2、有良好的商业信誉和健全的财务会计制度；</w:t>
      </w:r>
    </w:p>
    <w:p>
      <w:pPr>
        <w:ind w:left="480" w:firstLine="470" w:leftChars="200" w:firstLineChars="196"/>
        <w:rPr>
          <w:rFonts w:ascii="宋体" w:hAnsi="宋体"/>
        </w:rPr>
      </w:pPr>
      <w:r>
        <w:rPr>
          <w:rFonts w:ascii="宋体" w:hAnsi="宋体" w:hint="eastAsia"/>
        </w:rPr>
        <w:t>3、具有履行合同所必需的设备和专业技术能力；</w:t>
      </w:r>
    </w:p>
    <w:p>
      <w:pPr>
        <w:ind w:left="480" w:firstLine="470" w:leftChars="200" w:firstLineChars="196"/>
        <w:rPr>
          <w:rFonts w:ascii="宋体" w:hAnsi="宋体"/>
        </w:rPr>
      </w:pPr>
      <w:r>
        <w:rPr>
          <w:rFonts w:ascii="宋体" w:hAnsi="宋体" w:hint="eastAsia"/>
        </w:rPr>
        <w:t>4、有依法缴纳税收和社会保障资金的良好记录；</w:t>
      </w:r>
    </w:p>
    <w:p>
      <w:pPr>
        <w:ind w:left="480" w:firstLine="470" w:leftChars="200" w:firstLineChars="196"/>
        <w:rPr>
          <w:rFonts w:ascii="宋体" w:hAnsi="宋体"/>
        </w:rPr>
      </w:pPr>
      <w:r>
        <w:rPr>
          <w:rFonts w:ascii="宋体" w:hAnsi="宋体" w:hint="eastAsia"/>
        </w:rPr>
        <w:t>5、参加政府采购活动前三年内，在经营活动中没有重大违法记录；</w:t>
      </w:r>
    </w:p>
    <w:p>
      <w:pPr>
        <w:ind w:left="480" w:firstLine="470" w:leftChars="200" w:firstLineChars="196"/>
        <w:rPr>
          <w:rFonts w:ascii="宋体" w:hAnsi="宋体"/>
        </w:rPr>
      </w:pPr>
      <w:r>
        <w:rPr>
          <w:rFonts w:ascii="宋体" w:hAnsi="宋体" w:hint="eastAsia"/>
        </w:rPr>
        <w:t>6、法律、行政法规规定的其他条件。</w:t>
      </w:r>
    </w:p>
    <w:p>
      <w:pPr>
        <w:ind w:firstLine="470" w:firstLineChars="196"/>
        <w:rPr>
          <w:rFonts w:ascii="宋体" w:hAnsi="宋体"/>
        </w:rPr>
      </w:pPr>
      <w:r>
        <w:rPr>
          <w:rFonts w:ascii="宋体" w:hAnsi="宋体" w:hint="eastAsia"/>
        </w:rPr>
        <w:t>（2）在投标截止前，投标联合体各方均应注册成政府集中采购机构供应商；</w:t>
      </w:r>
    </w:p>
    <w:p>
      <w:pPr>
        <w:ind w:firstLine="470" w:firstLineChars="196"/>
        <w:rPr>
          <w:rFonts w:ascii="宋体" w:hAnsi="宋体"/>
        </w:rPr>
      </w:pPr>
      <w:r>
        <w:rPr>
          <w:rFonts w:ascii="宋体" w:hAnsi="宋体" w:hint="eastAsia"/>
        </w:rPr>
        <w:t>（3）联合体中有同类资质的供应商按照联合体分工承担相同工作的，应当按照资质等级较低的供应商确定资质等级；</w:t>
      </w:r>
    </w:p>
    <w:p>
      <w:pPr>
        <w:ind w:firstLine="470" w:firstLineChars="196"/>
      </w:pPr>
      <w:r>
        <w:rPr>
          <w:rFonts w:hint="eastAsia"/>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hAnsi="宋体"/>
        </w:rPr>
      </w:pPr>
      <w:r>
        <w:rPr>
          <w:rFonts w:ascii="宋体" w:hAnsi="宋体" w:hint="eastAsia"/>
        </w:rPr>
        <w:t>（5）投标人的投标文件及中标后签署的合同协议对联合体各方均</w:t>
      </w:r>
      <w:r>
        <w:rPr>
          <w:rFonts w:ascii="宋体" w:eastAsia="宋体" w:hAnsi="宋体" w:hint="eastAsia"/>
          <w:lang w:eastAsia="zh-CN"/>
        </w:rPr>
        <w:t>具有</w:t>
      </w:r>
      <w:r>
        <w:rPr>
          <w:rFonts w:ascii="宋体" w:hAnsi="宋体" w:hint="eastAsia"/>
        </w:rPr>
        <w:t>法律约束力；</w:t>
      </w:r>
    </w:p>
    <w:p>
      <w:pPr>
        <w:ind w:firstLine="470" w:firstLineChars="196"/>
        <w:rPr>
          <w:rFonts w:ascii="宋体" w:hAnsi="宋体"/>
        </w:rPr>
      </w:pPr>
      <w:r>
        <w:rPr>
          <w:rFonts w:ascii="宋体" w:hAnsi="宋体" w:hint="eastAsia"/>
        </w:rPr>
        <w:t>（6）联合体各方应当签订联合体投标协议，明确约定各方拟承担的工作和责任，并将该协议随投标文件一并递交给采购代理机构；</w:t>
      </w:r>
    </w:p>
    <w:p>
      <w:pPr>
        <w:ind w:firstLine="470" w:firstLineChars="196"/>
        <w:rPr>
          <w:rFonts w:ascii="宋体" w:hAnsi="宋体"/>
        </w:rPr>
      </w:pPr>
      <w:r>
        <w:rPr>
          <w:rFonts w:ascii="宋体" w:hAnsi="宋体" w:hint="eastAsia"/>
        </w:rPr>
        <w:t>（7）联合体中标后，联合体各方应当共同与采购人签订合同，就中标项目向采购人承担连带责任；</w:t>
      </w:r>
    </w:p>
    <w:p>
      <w:pPr>
        <w:ind w:firstLine="470" w:firstLineChars="196"/>
        <w:rPr>
          <w:rFonts w:ascii="宋体" w:hAnsi="宋体"/>
        </w:rPr>
      </w:pPr>
      <w:r>
        <w:rPr>
          <w:rFonts w:ascii="宋体" w:hAnsi="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hAnsi="宋体"/>
          <w:szCs w:val="21"/>
        </w:rPr>
      </w:pPr>
      <w:r>
        <w:rPr>
          <w:rFonts w:ascii="宋体" w:hAnsi="宋体" w:hint="eastAsia"/>
        </w:rPr>
        <w:t>（9）本通用条款中“投标人”一词亦指联合体各方，专用条款另有规定或说明的除外。</w:t>
      </w:r>
    </w:p>
    <w:p>
      <w:pPr>
        <w:outlineLvl w:val="2"/>
        <w:rPr>
          <w:rFonts w:ascii="黑体" w:eastAsia="黑体" w:hAnsi="宋体"/>
        </w:rPr>
      </w:pPr>
      <w:r>
        <w:rPr>
          <w:rFonts w:ascii="黑体" w:eastAsia="黑体" w:hAnsi="宋体" w:hint="eastAsia"/>
        </w:rPr>
        <w:t>6．政策导向</w:t>
      </w:r>
    </w:p>
    <w:p>
      <w:pPr>
        <w:ind w:firstLine="470" w:firstLineChars="196"/>
        <w:rPr>
          <w:rFonts w:ascii="宋体" w:hAnsi="宋体"/>
        </w:rPr>
      </w:pPr>
      <w:r>
        <w:rPr>
          <w:rFonts w:ascii="宋体" w:hAnsi="宋体" w:hint="eastAsia"/>
        </w:rPr>
        <w:t>6.1政府采购扶持贫困地区、中小企业、监狱企业和残疾人福利性单位发展，支持节能减排、环境保护。</w:t>
      </w:r>
    </w:p>
    <w:p>
      <w:pPr>
        <w:ind w:firstLine="405"/>
        <w:rPr>
          <w:shd w:val="clear" w:color="auto" w:fill="FFFFFF"/>
        </w:rPr>
      </w:pPr>
      <w:r>
        <w:rPr>
          <w:rFonts w:ascii="宋体" w:hAnsi="宋体" w:hint="eastAsia"/>
        </w:rPr>
        <w:t>6.2本项目落实深圳市政府采购供应商诚信管理政策要求。</w:t>
      </w:r>
    </w:p>
    <w:p>
      <w:pPr>
        <w:outlineLvl w:val="2"/>
        <w:rPr>
          <w:rFonts w:ascii="黑体" w:eastAsia="黑体" w:hAnsi="宋体"/>
        </w:rPr>
      </w:pPr>
      <w:r>
        <w:rPr>
          <w:rFonts w:ascii="黑体" w:eastAsia="黑体" w:hAnsi="宋体" w:hint="eastAsia"/>
        </w:rPr>
        <w:t>7. 本项目若涉及采购货物，则合格的货物及相应服务应满足以下要求：</w:t>
      </w:r>
    </w:p>
    <w:p>
      <w:pPr>
        <w:ind w:firstLine="470" w:firstLineChars="196"/>
        <w:rPr>
          <w:rFonts w:ascii="宋体" w:hAnsi="宋体"/>
        </w:rPr>
      </w:pPr>
      <w:r>
        <w:rPr>
          <w:rFonts w:ascii="宋体" w:hAnsi="宋体" w:hint="eastAsia"/>
        </w:rPr>
        <w:t>7</w:t>
      </w:r>
      <w:r>
        <w:rPr>
          <w:rFonts w:ascii="宋体" w:hAnsi="宋体"/>
        </w:rPr>
        <w:t xml:space="preserve">.1  </w:t>
      </w:r>
      <w:r>
        <w:rPr>
          <w:rFonts w:ascii="宋体" w:hAnsi="宋体" w:hint="eastAsia"/>
        </w:rPr>
        <w:t>必须是全新、未使用过的原装合格正品（包括零部件），如安装或配置了软件的，须为正版软件。</w:t>
      </w:r>
    </w:p>
    <w:p>
      <w:pPr>
        <w:ind w:firstLine="470" w:firstLineChars="196"/>
        <w:rPr>
          <w:rFonts w:ascii="宋体" w:hAnsi="宋体"/>
        </w:rPr>
      </w:pPr>
      <w:r>
        <w:rPr>
          <w:rFonts w:ascii="宋体" w:hAnsi="宋体" w:hint="eastAsia"/>
        </w:rPr>
        <w:t>7.2  国产的货物及其有关服务必须符合中华人民共和国的设计、制造生产标准及行业标准。招标公告有其他要求的，亦应符合其要求。</w:t>
      </w:r>
    </w:p>
    <w:p>
      <w:pPr>
        <w:ind w:firstLine="470" w:firstLineChars="196"/>
        <w:rPr>
          <w:rFonts w:ascii="宋体" w:hAnsi="宋体"/>
        </w:rPr>
      </w:pPr>
      <w:r>
        <w:rPr>
          <w:rFonts w:ascii="宋体" w:hAnsi="宋体" w:hint="eastAsia"/>
        </w:rPr>
        <w:t>7</w:t>
      </w:r>
      <w:r>
        <w:rPr>
          <w:rFonts w:ascii="宋体" w:hAnsi="宋体"/>
        </w:rPr>
        <w:t>.</w:t>
      </w:r>
      <w:r>
        <w:rPr>
          <w:rFonts w:ascii="宋体" w:hAnsi="宋体" w:hint="eastAsia"/>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hAnsi="宋体"/>
        </w:rPr>
      </w:pPr>
      <w:r>
        <w:rPr>
          <w:rFonts w:ascii="宋体" w:hAnsi="宋体" w:hint="eastAsia"/>
        </w:rPr>
        <w:t>7</w:t>
      </w:r>
      <w:r>
        <w:rPr>
          <w:rFonts w:ascii="宋体" w:hAnsi="宋体"/>
        </w:rPr>
        <w:t>.</w:t>
      </w:r>
      <w:r>
        <w:rPr>
          <w:rFonts w:ascii="宋体" w:hAnsi="宋体" w:hint="eastAsia"/>
        </w:rPr>
        <w:t>4投标人</w:t>
      </w:r>
      <w:bookmarkStart w:id="86" w:name="_Hlk72152753"/>
      <w:r>
        <w:rPr>
          <w:rFonts w:ascii="宋体" w:hAnsi="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86"/>
    </w:p>
    <w:p>
      <w:pPr>
        <w:ind w:firstLine="470" w:firstLineChars="196"/>
        <w:rPr>
          <w:rFonts w:ascii="宋体" w:hAnsi="宋体"/>
        </w:rPr>
      </w:pPr>
      <w:r>
        <w:rPr>
          <w:rFonts w:ascii="宋体" w:hAnsi="宋体" w:hint="eastAsia"/>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hAnsi="宋体"/>
        </w:rPr>
      </w:pPr>
      <w:r>
        <w:rPr>
          <w:rFonts w:ascii="宋体" w:hAnsi="宋体" w:hint="eastAsia"/>
        </w:rPr>
        <w:t>7.6  工期要求：投标人在投标时对其所投项目应提交交货进度、交货计划等，在合同规定的时间内完成项目实施工作。</w:t>
      </w:r>
    </w:p>
    <w:p>
      <w:pPr>
        <w:ind w:firstLine="470" w:firstLineChars="196"/>
        <w:rPr>
          <w:rFonts w:ascii="宋体" w:hAnsi="宋体"/>
        </w:rPr>
      </w:pPr>
      <w:r>
        <w:rPr>
          <w:rFonts w:ascii="宋体" w:hAnsi="宋体" w:hint="eastAsia"/>
        </w:rPr>
        <w:t>7.7  投标人必须</w:t>
      </w:r>
      <w:r>
        <w:rPr>
          <w:rFonts w:ascii="宋体" w:eastAsia="宋体" w:hAnsi="宋体" w:hint="eastAsia"/>
          <w:lang w:eastAsia="zh-CN"/>
        </w:rPr>
        <w:t>承担</w:t>
      </w:r>
      <w:r>
        <w:rPr>
          <w:rFonts w:ascii="宋体" w:hAnsi="宋体" w:hint="eastAsia"/>
        </w:rPr>
        <w:t>设备运输、安装调试、验收检测和提供设备操作说明书、图纸等其他相关及类似的义务。</w:t>
      </w:r>
    </w:p>
    <w:p>
      <w:pPr>
        <w:outlineLvl w:val="2"/>
        <w:rPr>
          <w:rFonts w:ascii="黑体" w:eastAsia="黑体" w:hAnsi="宋体"/>
        </w:rPr>
      </w:pPr>
      <w:r>
        <w:rPr>
          <w:rFonts w:ascii="黑体" w:eastAsia="黑体" w:hAnsi="宋体" w:hint="eastAsia"/>
        </w:rPr>
        <w:t>8．投标费用</w:t>
      </w:r>
    </w:p>
    <w:p>
      <w:pPr>
        <w:ind w:firstLine="470" w:firstLineChars="196"/>
        <w:rPr>
          <w:rFonts w:ascii="宋体" w:hAnsi="宋体"/>
          <w:szCs w:val="21"/>
        </w:rPr>
      </w:pPr>
      <w:r>
        <w:rPr>
          <w:rFonts w:ascii="宋体" w:hAnsi="宋体" w:hint="eastAsia"/>
          <w:szCs w:val="21"/>
        </w:rPr>
        <w:t>不论投标结果如何，投标人应承担其编制投标文件与递交投标文件所涉及的一切费用。</w:t>
      </w:r>
    </w:p>
    <w:p>
      <w:pPr>
        <w:outlineLvl w:val="2"/>
        <w:rPr>
          <w:rFonts w:ascii="黑体" w:eastAsia="黑体" w:hAnsi="宋体"/>
        </w:rPr>
      </w:pPr>
      <w:r>
        <w:rPr>
          <w:rFonts w:ascii="黑体" w:eastAsia="黑体" w:hAnsi="宋体" w:hint="eastAsia"/>
        </w:rPr>
        <w:t>9．踏勘现场</w:t>
      </w:r>
    </w:p>
    <w:p>
      <w:pPr>
        <w:ind w:firstLine="470" w:firstLineChars="196"/>
        <w:rPr>
          <w:rFonts w:ascii="宋体" w:hAnsi="宋体"/>
          <w:szCs w:val="21"/>
        </w:rPr>
      </w:pPr>
      <w:r>
        <w:rPr>
          <w:rFonts w:ascii="宋体" w:hAnsi="宋体" w:hint="eastAsia"/>
          <w:szCs w:val="21"/>
        </w:rPr>
        <w:t>9.1如有需要（详见专用条款），采购人或采购代理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hAnsi="宋体"/>
        </w:rPr>
      </w:pPr>
      <w:r>
        <w:rPr>
          <w:rFonts w:ascii="宋体" w:hAnsi="宋体" w:hint="eastAsia"/>
        </w:rPr>
        <w:t>9.2投标人及其人员经过采购人的允许，可以进入采购人的项目现场踏勘。若招标文件要求投标人于统一时间地点踏勘现场的，投标人应当按时前往。</w:t>
      </w:r>
    </w:p>
    <w:p>
      <w:pPr>
        <w:ind w:firstLine="470" w:firstLineChars="196"/>
        <w:rPr>
          <w:rFonts w:ascii="宋体" w:hAnsi="宋体"/>
        </w:rPr>
      </w:pPr>
      <w:r>
        <w:rPr>
          <w:rFonts w:ascii="宋体" w:hAnsi="宋体" w:hint="eastAsia"/>
        </w:rPr>
        <w:t>9.3采购人应当通过</w:t>
      </w:r>
      <w:r>
        <w:rPr>
          <w:rFonts w:ascii="宋体" w:hAnsi="宋体" w:hint="eastAsia"/>
          <w:szCs w:val="21"/>
        </w:rPr>
        <w:t>采购代理机构</w:t>
      </w:r>
      <w:r>
        <w:rPr>
          <w:rFonts w:ascii="宋体" w:hAnsi="宋体" w:hint="eastAsia"/>
        </w:rPr>
        <w:t>向投标人提供有关现场的书面资料和数据。</w:t>
      </w:r>
    </w:p>
    <w:p>
      <w:pPr>
        <w:ind w:firstLine="470" w:firstLineChars="196"/>
        <w:rPr>
          <w:rFonts w:ascii="宋体" w:hAnsi="宋体"/>
        </w:rPr>
      </w:pPr>
      <w:r>
        <w:rPr>
          <w:rFonts w:ascii="宋体" w:hAnsi="宋体" w:hint="eastAsia"/>
        </w:rPr>
        <w:t>9.4任何人或任何组织在踏勘现场时向投标人提供的任何书面资料或口头承诺，未经</w:t>
      </w:r>
      <w:r>
        <w:rPr>
          <w:rFonts w:ascii="宋体" w:hAnsi="宋体" w:hint="eastAsia"/>
          <w:szCs w:val="21"/>
        </w:rPr>
        <w:t>采购代理机构</w:t>
      </w:r>
      <w:r>
        <w:rPr>
          <w:rFonts w:ascii="宋体" w:hAnsi="宋体" w:hint="eastAsia"/>
        </w:rPr>
        <w:t>在网上发布或书面通知，均作无效处理。</w:t>
      </w:r>
    </w:p>
    <w:p>
      <w:pPr>
        <w:ind w:firstLine="470" w:firstLineChars="196"/>
        <w:rPr>
          <w:rFonts w:ascii="宋体" w:hAnsi="宋体"/>
        </w:rPr>
      </w:pPr>
      <w:r>
        <w:rPr>
          <w:rFonts w:ascii="宋体" w:hAnsi="宋体"/>
          <w:szCs w:val="21"/>
        </w:rPr>
        <w:t>9</w:t>
      </w:r>
      <w:r>
        <w:rPr>
          <w:rFonts w:ascii="宋体" w:hAnsi="宋体" w:hint="eastAsia"/>
          <w:szCs w:val="21"/>
        </w:rPr>
        <w:t>.</w:t>
      </w:r>
      <w:r>
        <w:rPr>
          <w:rFonts w:ascii="宋体" w:hAnsi="宋体"/>
          <w:szCs w:val="21"/>
        </w:rPr>
        <w:t>5</w:t>
      </w:r>
      <w:r>
        <w:rPr>
          <w:rFonts w:ascii="宋体" w:hAnsi="宋体" w:hint="eastAsia"/>
          <w:szCs w:val="21"/>
        </w:rPr>
        <w:t>未参与踏勘现场不作为否定投标人资格的理由。</w:t>
      </w:r>
    </w:p>
    <w:p>
      <w:pPr>
        <w:outlineLvl w:val="2"/>
        <w:rPr>
          <w:rFonts w:ascii="宋体" w:hAnsi="宋体"/>
          <w:szCs w:val="21"/>
        </w:rPr>
      </w:pPr>
      <w:r>
        <w:rPr>
          <w:rFonts w:ascii="黑体" w:eastAsia="黑体" w:hAnsi="宋体" w:hint="eastAsia"/>
        </w:rPr>
        <w:t>1</w:t>
      </w:r>
      <w:r>
        <w:rPr>
          <w:rFonts w:ascii="黑体" w:eastAsia="黑体" w:hAnsi="宋体"/>
        </w:rPr>
        <w:t>0</w:t>
      </w:r>
      <w:r>
        <w:rPr>
          <w:rFonts w:ascii="黑体" w:eastAsia="黑体" w:hAnsi="宋体" w:hint="eastAsia"/>
        </w:rPr>
        <w:t>．标前会议</w:t>
      </w:r>
    </w:p>
    <w:p>
      <w:pPr>
        <w:ind w:firstLine="470" w:firstLineChars="196"/>
        <w:rPr>
          <w:rFonts w:ascii="宋体" w:hAnsi="宋体"/>
          <w:szCs w:val="21"/>
        </w:rPr>
      </w:pPr>
      <w:r>
        <w:rPr>
          <w:rFonts w:ascii="宋体" w:hAnsi="宋体" w:hint="eastAsia"/>
          <w:szCs w:val="21"/>
        </w:rPr>
        <w:t>1</w:t>
      </w:r>
      <w:r>
        <w:rPr>
          <w:rFonts w:ascii="宋体" w:hAnsi="宋体"/>
          <w:szCs w:val="21"/>
        </w:rPr>
        <w:t>0</w:t>
      </w:r>
      <w:r>
        <w:rPr>
          <w:rFonts w:ascii="宋体" w:hAnsi="宋体" w:hint="eastAsia"/>
          <w:szCs w:val="21"/>
        </w:rPr>
        <w:t>.</w:t>
      </w:r>
      <w:r>
        <w:rPr>
          <w:rFonts w:ascii="宋体" w:hAnsi="宋体"/>
          <w:szCs w:val="21"/>
        </w:rPr>
        <w:t>1</w:t>
      </w:r>
      <w:r>
        <w:rPr>
          <w:rFonts w:ascii="宋体" w:hAnsi="宋体" w:hint="eastAsia"/>
          <w:szCs w:val="21"/>
        </w:rPr>
        <w:t>如采购人或采购代理机构认为有必要组织标前会议，投标人应按照招标文件规定的时间或采购代理机构另行书面通知（包括采购代理机构网站发布方式，如更正公告等）的时间和地点，参与标前会议。</w:t>
      </w:r>
    </w:p>
    <w:p>
      <w:pPr>
        <w:ind w:firstLine="470" w:firstLineChars="196"/>
        <w:rPr>
          <w:rFonts w:ascii="宋体" w:hAnsi="宋体"/>
          <w:szCs w:val="21"/>
        </w:rPr>
      </w:pPr>
      <w:r>
        <w:rPr>
          <w:rFonts w:ascii="宋体" w:hAnsi="宋体"/>
        </w:rPr>
        <w:t>10</w:t>
      </w:r>
      <w:r>
        <w:rPr>
          <w:rFonts w:ascii="宋体" w:hAnsi="宋体" w:hint="eastAsia"/>
        </w:rPr>
        <w:t>.</w:t>
      </w:r>
      <w:r>
        <w:rPr>
          <w:rFonts w:ascii="宋体" w:hAnsi="宋体"/>
        </w:rPr>
        <w:t>2</w:t>
      </w:r>
      <w:r>
        <w:rPr>
          <w:rFonts w:ascii="宋体" w:hAnsi="宋体" w:hint="eastAsia"/>
        </w:rPr>
        <w:t>任何人或任何组织在标前会议时向投标人提供的任何书面资料或口头承诺，未经</w:t>
      </w:r>
      <w:r>
        <w:rPr>
          <w:rFonts w:ascii="宋体" w:hAnsi="宋体" w:hint="eastAsia"/>
          <w:szCs w:val="21"/>
        </w:rPr>
        <w:t>采购代理机构</w:t>
      </w:r>
      <w:r>
        <w:rPr>
          <w:rFonts w:ascii="宋体" w:hAnsi="宋体" w:hint="eastAsia"/>
        </w:rPr>
        <w:t>在网上发布或书面通知，均作无效处理。</w:t>
      </w:r>
    </w:p>
    <w:p>
      <w:pPr>
        <w:ind w:firstLine="470" w:firstLineChars="196"/>
        <w:rPr>
          <w:rFonts w:ascii="宋体" w:hAnsi="宋体"/>
          <w:szCs w:val="21"/>
        </w:rPr>
      </w:pPr>
      <w:r>
        <w:rPr>
          <w:rFonts w:ascii="宋体" w:hAnsi="宋体" w:hint="eastAsia"/>
          <w:szCs w:val="21"/>
        </w:rPr>
        <w:t>1</w:t>
      </w:r>
      <w:r>
        <w:rPr>
          <w:rFonts w:ascii="宋体" w:hAnsi="宋体"/>
          <w:szCs w:val="21"/>
        </w:rPr>
        <w:t>0</w:t>
      </w:r>
      <w:r>
        <w:rPr>
          <w:rFonts w:ascii="宋体" w:hAnsi="宋体" w:hint="eastAsia"/>
          <w:szCs w:val="21"/>
        </w:rPr>
        <w:t>.</w:t>
      </w:r>
      <w:r>
        <w:rPr>
          <w:rFonts w:ascii="宋体" w:hAnsi="宋体"/>
          <w:szCs w:val="21"/>
        </w:rPr>
        <w:t>3</w:t>
      </w:r>
      <w:r>
        <w:rPr>
          <w:rFonts w:ascii="宋体" w:hAnsi="宋体" w:hint="eastAsia"/>
          <w:szCs w:val="21"/>
        </w:rPr>
        <w:t>未参与标前会议不作为否定投标人资格的理由。</w:t>
      </w:r>
    </w:p>
    <w:p>
      <w:pPr>
        <w:pStyle w:val="Heading2"/>
        <w:numPr>
          <w:ilvl w:val="0"/>
          <w:numId w:val="4"/>
        </w:numPr>
        <w:spacing w:before="120" w:beforeLines="50" w:after="120" w:afterLines="50"/>
        <w:ind w:left="562" w:hanging="562"/>
        <w:rPr>
          <w:sz w:val="36"/>
          <w:szCs w:val="36"/>
        </w:rPr>
      </w:pPr>
      <w:bookmarkEnd w:id="85"/>
      <w:r>
        <w:rPr>
          <w:rFonts w:hint="eastAsia"/>
          <w:sz w:val="36"/>
          <w:szCs w:val="36"/>
        </w:rPr>
        <w:t>招标文件</w:t>
      </w:r>
    </w:p>
    <w:p>
      <w:pPr>
        <w:rPr>
          <w:rFonts w:ascii="黑体" w:eastAsia="黑体" w:hAnsi="宋体"/>
        </w:rPr>
      </w:pPr>
      <w:r>
        <w:rPr>
          <w:rFonts w:ascii="黑体" w:eastAsia="黑体" w:hAnsi="宋体" w:hint="eastAsia"/>
        </w:rPr>
        <w:t>1</w:t>
      </w:r>
      <w:r>
        <w:rPr>
          <w:rFonts w:ascii="黑体" w:eastAsia="黑体" w:hAnsi="宋体"/>
        </w:rPr>
        <w:t>1</w:t>
      </w:r>
      <w:r>
        <w:rPr>
          <w:rFonts w:ascii="黑体" w:eastAsia="黑体" w:hAnsi="宋体" w:hint="eastAsia"/>
        </w:rPr>
        <w:t>．</w:t>
      </w:r>
      <w:bookmarkStart w:id="87" w:name="_Hlk72399819"/>
      <w:r>
        <w:rPr>
          <w:rFonts w:ascii="黑体" w:eastAsia="黑体" w:hAnsi="宋体" w:hint="eastAsia"/>
        </w:rPr>
        <w:t>招标文件的编制与组成</w:t>
      </w:r>
    </w:p>
    <w:p>
      <w:pPr>
        <w:snapToGrid w:val="0"/>
        <w:ind w:firstLine="480" w:firstLineChars="200"/>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.1招标文件除以下内容外，采购代理机构在招标期间发出的澄清或修改等相关公告或通知内容，均是招标文件的组成部分，对投标人起约束作用；</w:t>
      </w:r>
    </w:p>
    <w:p>
      <w:pPr>
        <w:ind w:firstLine="470" w:firstLineChars="196"/>
        <w:rPr>
          <w:rFonts w:ascii="宋体" w:hAnsi="宋体"/>
          <w:szCs w:val="21"/>
        </w:rPr>
      </w:pPr>
      <w:r>
        <w:rPr>
          <w:rFonts w:ascii="宋体" w:hAnsi="宋体" w:hint="eastAsia"/>
          <w:szCs w:val="21"/>
        </w:rPr>
        <w:t>招标文件包括下列内容：</w:t>
      </w:r>
    </w:p>
    <w:p>
      <w:pPr>
        <w:rPr>
          <w:rFonts w:ascii="宋体" w:hAnsi="宋体"/>
          <w:b/>
          <w:szCs w:val="21"/>
        </w:rPr>
      </w:pPr>
      <w:r>
        <w:rPr>
          <w:rFonts w:ascii="宋体" w:hAnsi="宋体" w:hint="eastAsia"/>
          <w:b/>
          <w:szCs w:val="21"/>
        </w:rPr>
        <w:t>第一册  专用条款</w:t>
      </w:r>
    </w:p>
    <w:p>
      <w:pPr>
        <w:ind w:firstLine="960" w:firstLineChars="400"/>
      </w:pPr>
      <w:r>
        <w:rPr>
          <w:rFonts w:hint="eastAsia"/>
        </w:rPr>
        <w:t>第一章  招标公告</w:t>
      </w:r>
    </w:p>
    <w:p>
      <w:pPr>
        <w:ind w:firstLine="960" w:firstLineChars="400"/>
      </w:pPr>
      <w:r>
        <w:rPr>
          <w:rFonts w:hint="eastAsia"/>
        </w:rPr>
        <w:t>第二章  对通用条款的补充内容及其他关键信息</w:t>
      </w:r>
    </w:p>
    <w:p>
      <w:pPr>
        <w:ind w:firstLine="960" w:firstLineChars="400"/>
      </w:pPr>
      <w:r>
        <w:rPr>
          <w:rFonts w:hint="eastAsia"/>
        </w:rPr>
        <w:t>第三章  用户需求书</w:t>
      </w:r>
    </w:p>
    <w:p>
      <w:pPr>
        <w:ind w:firstLine="960" w:firstLineChars="400"/>
      </w:pPr>
      <w:r>
        <w:rPr>
          <w:rFonts w:hint="eastAsia"/>
        </w:rPr>
        <w:t>第四章 投标文件格式及附件</w:t>
      </w:r>
    </w:p>
    <w:p>
      <w:pPr>
        <w:ind w:firstLine="960" w:firstLineChars="400"/>
      </w:pPr>
      <w:r>
        <w:rPr>
          <w:rFonts w:hint="eastAsia"/>
        </w:rPr>
        <w:t>第五章  合同条款及格式</w:t>
      </w:r>
    </w:p>
    <w:p>
      <w:pPr>
        <w:rPr>
          <w:rFonts w:ascii="宋体" w:hAnsi="宋体"/>
          <w:b/>
          <w:szCs w:val="21"/>
        </w:rPr>
      </w:pPr>
      <w:r>
        <w:rPr>
          <w:rFonts w:ascii="宋体" w:hAnsi="宋体" w:hint="eastAsia"/>
          <w:b/>
          <w:szCs w:val="21"/>
        </w:rPr>
        <w:t>第二册  通用条款</w:t>
      </w:r>
    </w:p>
    <w:p>
      <w:pPr>
        <w:ind w:firstLine="960" w:firstLineChars="400"/>
      </w:pPr>
      <w:r>
        <w:rPr>
          <w:rFonts w:hint="eastAsia"/>
        </w:rPr>
        <w:t>第一章  总则</w:t>
      </w:r>
    </w:p>
    <w:p>
      <w:pPr>
        <w:ind w:firstLine="960" w:firstLineChars="400"/>
      </w:pPr>
      <w:r>
        <w:rPr>
          <w:rFonts w:hint="eastAsia"/>
        </w:rPr>
        <w:t>第二章  招标文件</w:t>
      </w:r>
    </w:p>
    <w:p>
      <w:pPr>
        <w:ind w:firstLine="960" w:firstLineChars="400"/>
      </w:pPr>
      <w:r>
        <w:rPr>
          <w:rFonts w:hint="eastAsia"/>
        </w:rPr>
        <w:t>第三章  投标文件的编制</w:t>
      </w:r>
    </w:p>
    <w:p>
      <w:pPr>
        <w:ind w:firstLine="960" w:firstLineChars="400"/>
      </w:pPr>
      <w:r>
        <w:rPr>
          <w:rFonts w:hint="eastAsia"/>
        </w:rPr>
        <w:t>第四章  投标文件的递交</w:t>
      </w:r>
    </w:p>
    <w:p>
      <w:pPr>
        <w:ind w:firstLine="960" w:firstLineChars="400"/>
      </w:pPr>
      <w:r>
        <w:rPr>
          <w:rFonts w:hint="eastAsia"/>
        </w:rPr>
        <w:t>第五章  开标</w:t>
      </w:r>
    </w:p>
    <w:p>
      <w:pPr>
        <w:ind w:firstLine="960" w:firstLineChars="400"/>
      </w:pPr>
      <w:r>
        <w:rPr>
          <w:rFonts w:hint="eastAsia"/>
        </w:rPr>
        <w:t>第六章  评审要求</w:t>
      </w:r>
    </w:p>
    <w:p>
      <w:pPr>
        <w:ind w:firstLine="960" w:firstLineChars="400"/>
      </w:pPr>
      <w:r>
        <w:rPr>
          <w:rFonts w:hint="eastAsia"/>
        </w:rPr>
        <w:t>第七章  评审程序及评审方法</w:t>
      </w:r>
    </w:p>
    <w:p>
      <w:pPr>
        <w:ind w:firstLine="960" w:firstLineChars="400"/>
      </w:pPr>
      <w:r>
        <w:rPr>
          <w:rFonts w:hint="eastAsia"/>
        </w:rPr>
        <w:t>第八章  定标及公示</w:t>
      </w:r>
    </w:p>
    <w:p>
      <w:pPr>
        <w:ind w:firstLine="960" w:firstLineChars="400"/>
      </w:pPr>
      <w:r>
        <w:rPr>
          <w:rFonts w:hint="eastAsia"/>
        </w:rPr>
        <w:t>第九章  公开招标失败的后续处理</w:t>
      </w:r>
    </w:p>
    <w:p>
      <w:pPr>
        <w:ind w:firstLine="960" w:firstLineChars="400"/>
      </w:pPr>
      <w:r>
        <w:rPr>
          <w:rFonts w:hint="eastAsia"/>
        </w:rPr>
        <w:t>第十章  合同的授予与备案</w:t>
      </w:r>
    </w:p>
    <w:p>
      <w:pPr>
        <w:ind w:firstLine="960" w:firstLineChars="400"/>
      </w:pPr>
      <w:r>
        <w:rPr>
          <w:rFonts w:hint="eastAsia"/>
        </w:rPr>
        <w:t>第十一章  质疑处理</w:t>
      </w:r>
    </w:p>
    <w:p>
      <w:pPr>
        <w:pStyle w:val="BodyText"/>
        <w:rPr>
          <w:rFonts w:eastAsia="宋体"/>
        </w:rPr>
      </w:pPr>
      <w:r>
        <w:rPr>
          <w:rFonts w:hint="eastAsia"/>
        </w:rPr>
        <w:t xml:space="preserve">       </w:t>
      </w:r>
      <w:r>
        <w:rPr>
          <w:rFonts w:eastAsia="宋体" w:hint="eastAsia"/>
          <w:b w:val="0"/>
          <w:bCs w:val="0"/>
          <w:kern w:val="2"/>
          <w:sz w:val="21"/>
        </w:rPr>
        <w:t>第十二章 中标服务费</w:t>
      </w:r>
    </w:p>
    <w:p>
      <w:pPr>
        <w:ind w:firstLine="470" w:firstLineChars="196"/>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w:t>
      </w:r>
      <w:r>
        <w:rPr>
          <w:rFonts w:ascii="宋体" w:eastAsia="宋体" w:hAnsi="宋体" w:hint="eastAsia"/>
          <w:szCs w:val="21"/>
          <w:lang w:eastAsia="zh-CN"/>
        </w:rPr>
        <w:t>作出</w:t>
      </w:r>
      <w:r>
        <w:rPr>
          <w:rFonts w:ascii="宋体" w:hAnsi="宋体" w:hint="eastAsia"/>
          <w:szCs w:val="21"/>
        </w:rPr>
        <w:t>实质性响应，其风险由投标人自行承担。</w:t>
      </w:r>
    </w:p>
    <w:p>
      <w:pPr>
        <w:ind w:firstLine="470" w:firstLineChars="196"/>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.3</w:t>
      </w:r>
      <w:r>
        <w:rPr>
          <w:rFonts w:ascii="宋体" w:hAnsi="宋体" w:hint="eastAsia"/>
        </w:rPr>
        <w:t>任何人或任何组织向投标人提交的任何书面或口头资料，未经采购代理机构在网上发布或书面通知，均作无效处理，不得作为招标文件的组成部分。采购代理机构对投标人由此而做出的推论、理解和结论概不负责。</w:t>
      </w:r>
    </w:p>
    <w:p>
      <w:pPr>
        <w:rPr>
          <w:rFonts w:ascii="黑体" w:eastAsia="黑体" w:hAnsi="宋体"/>
        </w:rPr>
      </w:pPr>
      <w:r>
        <w:rPr>
          <w:rFonts w:ascii="黑体" w:eastAsia="黑体" w:hAnsi="宋体" w:hint="eastAsia"/>
        </w:rPr>
        <w:t>1</w:t>
      </w:r>
      <w:r>
        <w:rPr>
          <w:rFonts w:ascii="黑体" w:eastAsia="黑体" w:hAnsi="宋体"/>
        </w:rPr>
        <w:t>2</w:t>
      </w:r>
      <w:r>
        <w:rPr>
          <w:rFonts w:ascii="黑体" w:eastAsia="黑体" w:hAnsi="宋体" w:hint="eastAsia"/>
        </w:rPr>
        <w:t>．招标文件的澄清</w:t>
      </w:r>
    </w:p>
    <w:p>
      <w:pPr>
        <w:ind w:firstLine="470" w:firstLineChars="196"/>
        <w:rPr>
          <w:rFonts w:ascii="宋体" w:hAnsi="宋体"/>
          <w:szCs w:val="21"/>
        </w:rPr>
      </w:pPr>
      <w:r>
        <w:rPr>
          <w:rFonts w:ascii="宋体" w:hAnsi="宋体" w:hint="eastAsia"/>
          <w:szCs w:val="21"/>
        </w:rPr>
        <w:t>1</w:t>
      </w:r>
      <w:r>
        <w:rPr>
          <w:rFonts w:ascii="宋体" w:hAnsi="宋体"/>
          <w:szCs w:val="21"/>
        </w:rPr>
        <w:t>2</w:t>
      </w:r>
      <w:r>
        <w:rPr>
          <w:rFonts w:ascii="宋体" w:hAnsi="宋体" w:hint="eastAsia"/>
          <w:szCs w:val="21"/>
        </w:rPr>
        <w:t>.1招标文件澄清的目的是澄清、解答投标人在查阅招标文件后或现场踏勘中可能提出的与投标有关的疑问或询问。</w:t>
      </w:r>
    </w:p>
    <w:p>
      <w:pPr>
        <w:ind w:firstLine="470" w:firstLineChars="196"/>
        <w:rPr>
          <w:rFonts w:ascii="宋体" w:hAnsi="宋体"/>
          <w:szCs w:val="21"/>
        </w:rPr>
      </w:pPr>
      <w:r>
        <w:rPr>
          <w:rFonts w:ascii="宋体" w:hAnsi="宋体" w:hint="eastAsia"/>
          <w:szCs w:val="21"/>
        </w:rPr>
        <w:t>1</w:t>
      </w:r>
      <w:r>
        <w:rPr>
          <w:rFonts w:ascii="宋体" w:hAnsi="宋体"/>
          <w:szCs w:val="21"/>
        </w:rPr>
        <w:t>2</w:t>
      </w:r>
      <w:r>
        <w:rPr>
          <w:rFonts w:ascii="宋体" w:hAnsi="宋体" w:hint="eastAsia"/>
          <w:szCs w:val="21"/>
        </w:rPr>
        <w:t>.2投标人如对招标文件内容有疑问，应当在招标公告规定的澄清（提问）截止时间前以网上提问的形式通过网上政府采购系统提交采购代理机构。</w:t>
      </w:r>
    </w:p>
    <w:p>
      <w:pPr>
        <w:ind w:firstLine="470" w:firstLineChars="196"/>
        <w:rPr>
          <w:rFonts w:ascii="宋体" w:hAnsi="宋体"/>
          <w:szCs w:val="21"/>
        </w:rPr>
      </w:pPr>
      <w:r>
        <w:rPr>
          <w:rFonts w:ascii="宋体" w:hAnsi="宋体" w:hint="eastAsia"/>
          <w:szCs w:val="21"/>
        </w:rPr>
        <w:t>1</w:t>
      </w:r>
      <w:r>
        <w:rPr>
          <w:rFonts w:ascii="宋体" w:hAnsi="宋体"/>
          <w:szCs w:val="21"/>
        </w:rPr>
        <w:t>2</w:t>
      </w:r>
      <w:r>
        <w:rPr>
          <w:rFonts w:ascii="宋体" w:hAnsi="宋体" w:hint="eastAsia"/>
          <w:szCs w:val="21"/>
        </w:rPr>
        <w:t>.3不论是采购代理机构根据需要主动对招标文件进行必要的澄清或是根据投标人的要求对招标文件做出澄清，采购代理机构都将在投标截止日期前以书面形式（包括采购代理机构网站发布方式）答复或发送给所有投标人。答复内容是招标文件的组成部分，对投标人起约束作用，其有效性按照本通用条款第1</w:t>
      </w:r>
      <w:r>
        <w:rPr>
          <w:rFonts w:ascii="宋体" w:hAnsi="宋体"/>
          <w:szCs w:val="21"/>
        </w:rPr>
        <w:t>3.3</w:t>
      </w:r>
      <w:r>
        <w:rPr>
          <w:rFonts w:ascii="宋体" w:hAnsi="宋体" w:hint="eastAsia"/>
          <w:szCs w:val="21"/>
        </w:rPr>
        <w:t>、1</w:t>
      </w:r>
      <w:r>
        <w:rPr>
          <w:rFonts w:ascii="宋体" w:hAnsi="宋体"/>
          <w:szCs w:val="21"/>
        </w:rPr>
        <w:t>3.4</w:t>
      </w:r>
      <w:r>
        <w:rPr>
          <w:rFonts w:ascii="宋体" w:hAnsi="宋体" w:hint="eastAsia"/>
          <w:szCs w:val="21"/>
        </w:rPr>
        <w:t>款规定执行。</w:t>
      </w:r>
    </w:p>
    <w:p>
      <w:pPr>
        <w:rPr>
          <w:rFonts w:ascii="黑体" w:eastAsia="黑体" w:hAnsi="宋体"/>
        </w:rPr>
      </w:pPr>
      <w:r>
        <w:rPr>
          <w:rFonts w:ascii="黑体" w:eastAsia="黑体" w:hAnsi="宋体"/>
        </w:rPr>
        <w:t>1</w:t>
      </w:r>
      <w:r>
        <w:rPr>
          <w:rFonts w:ascii="黑体" w:eastAsia="黑体" w:hAnsi="宋体" w:hint="eastAsia"/>
        </w:rPr>
        <w:t>3．招标文件的修改</w:t>
      </w:r>
    </w:p>
    <w:p>
      <w:pPr>
        <w:ind w:firstLine="470" w:firstLineChars="196"/>
        <w:rPr>
          <w:rFonts w:ascii="宋体" w:hAnsi="宋体"/>
          <w:szCs w:val="21"/>
        </w:rPr>
      </w:pPr>
      <w:r>
        <w:rPr>
          <w:rFonts w:ascii="宋体" w:hAnsi="宋体"/>
          <w:szCs w:val="21"/>
        </w:rPr>
        <w:t>1</w:t>
      </w:r>
      <w:r>
        <w:rPr>
          <w:rFonts w:ascii="宋体" w:hAnsi="宋体" w:hint="eastAsia"/>
          <w:szCs w:val="21"/>
        </w:rPr>
        <w:t>3.1招标文件发出后，在投标截止日期前任何时候，确需要变更招标文件内容的，采购代理机构可主动或在解答投标人提出的澄清问题时对招标文件进行修改。</w:t>
      </w:r>
    </w:p>
    <w:p>
      <w:pPr>
        <w:ind w:firstLine="470" w:firstLineChars="196"/>
        <w:rPr>
          <w:rFonts w:ascii="宋体" w:hAnsi="宋体"/>
          <w:szCs w:val="21"/>
        </w:rPr>
      </w:pPr>
      <w:r>
        <w:rPr>
          <w:rFonts w:ascii="宋体" w:hAnsi="宋体"/>
          <w:szCs w:val="21"/>
        </w:rPr>
        <w:t>1</w:t>
      </w:r>
      <w:r>
        <w:rPr>
          <w:rFonts w:ascii="宋体" w:hAnsi="宋体" w:hint="eastAsia"/>
          <w:szCs w:val="21"/>
        </w:rPr>
        <w:t>3.2招标文件的修改以书面形式（包括采购代理机构网站发布方式，如更正公告等）发送给所有投标人，招标文件的修改内容作为招标文件的组成部分，并具有约束力。</w:t>
      </w:r>
    </w:p>
    <w:p>
      <w:pPr>
        <w:ind w:firstLine="470" w:firstLineChars="196"/>
        <w:rPr>
          <w:rFonts w:ascii="宋体" w:hAnsi="宋体"/>
          <w:szCs w:val="21"/>
        </w:rPr>
      </w:pPr>
      <w:r>
        <w:rPr>
          <w:rFonts w:ascii="宋体" w:hAnsi="宋体"/>
          <w:szCs w:val="21"/>
        </w:rPr>
        <w:t>1</w:t>
      </w:r>
      <w:r>
        <w:rPr>
          <w:rFonts w:ascii="宋体" w:hAnsi="宋体" w:hint="eastAsia"/>
          <w:szCs w:val="21"/>
        </w:rPr>
        <w:t>3.3招标文件、招标文件澄清答复内容、招标文件修改补充内容均以书面形式（包括采购代理机构网站公开发布方式，如更正公告等）明确的内容为准。当招标文件、修改补充通知、招标文件澄清答复内容相互矛盾时，以最后发出的内容为准。</w:t>
      </w:r>
    </w:p>
    <w:p>
      <w:pPr>
        <w:ind w:firstLine="470" w:firstLineChars="196"/>
        <w:rPr>
          <w:rFonts w:ascii="宋体" w:hAnsi="宋体"/>
          <w:szCs w:val="21"/>
        </w:rPr>
      </w:pPr>
      <w:r>
        <w:rPr>
          <w:rFonts w:ascii="宋体" w:hAnsi="宋体"/>
          <w:szCs w:val="21"/>
        </w:rPr>
        <w:t>1</w:t>
      </w:r>
      <w:r>
        <w:rPr>
          <w:rFonts w:ascii="宋体" w:hAnsi="宋体" w:hint="eastAsia"/>
          <w:szCs w:val="21"/>
        </w:rPr>
        <w:t>3.4采购代理机构保证招标文件澄清答复内容和招标文件修改补充内容在投标截止时间前以书面形式（包括采购代理机构网站发布方式，如更正公告等）发送给所有投标人。为使投标人在编制投标文件时有充分时间对招标文件的修改部分进行研究，采购代理机构可以酌情延长递交投标文件的截止日期。</w:t>
      </w:r>
      <w:bookmarkEnd w:id="87"/>
    </w:p>
    <w:p>
      <w:pPr>
        <w:pStyle w:val="Heading2"/>
        <w:numPr>
          <w:ilvl w:val="0"/>
          <w:numId w:val="4"/>
        </w:numPr>
        <w:spacing w:before="120" w:beforeLines="50" w:after="120" w:afterLines="50"/>
        <w:ind w:left="562" w:hanging="562"/>
        <w:rPr>
          <w:sz w:val="28"/>
          <w:szCs w:val="28"/>
        </w:rPr>
      </w:pPr>
      <w:r>
        <w:rPr>
          <w:rFonts w:hint="eastAsia"/>
          <w:sz w:val="28"/>
          <w:szCs w:val="28"/>
        </w:rPr>
        <w:t>投标文件的编制</w:t>
      </w:r>
    </w:p>
    <w:p>
      <w:pPr>
        <w:rPr>
          <w:rFonts w:ascii="黑体" w:eastAsia="黑体" w:hAnsi="宋体"/>
        </w:rPr>
      </w:pPr>
      <w:r>
        <w:rPr>
          <w:rFonts w:ascii="黑体" w:eastAsia="黑体" w:hAnsi="宋体" w:hint="eastAsia"/>
        </w:rPr>
        <w:t>14．</w:t>
      </w:r>
      <w:bookmarkStart w:id="88" w:name="_Hlk72400236"/>
      <w:r>
        <w:rPr>
          <w:rFonts w:ascii="黑体" w:eastAsia="黑体" w:hAnsi="宋体" w:hint="eastAsia"/>
        </w:rPr>
        <w:t>投标文件的语言及度量单位</w:t>
      </w:r>
    </w:p>
    <w:p>
      <w:pPr>
        <w:ind w:firstLine="470" w:firstLineChars="196"/>
        <w:rPr>
          <w:rFonts w:ascii="宋体" w:hAnsi="宋体"/>
          <w:szCs w:val="21"/>
        </w:rPr>
      </w:pPr>
      <w:r>
        <w:rPr>
          <w:rFonts w:ascii="宋体" w:hAnsi="宋体" w:hint="eastAsia"/>
          <w:szCs w:val="21"/>
        </w:rPr>
        <w:t>14.1 投标人与采购代理机构之间与投标有关的所有往来通知、函件和投标文件均用中文表述。投标人随投标文件提供的证明文件和资料可以</w:t>
      </w:r>
      <w:r>
        <w:rPr>
          <w:rFonts w:ascii="宋体" w:eastAsia="宋体" w:hAnsi="宋体" w:hint="eastAsia"/>
          <w:szCs w:val="21"/>
          <w:lang w:eastAsia="zh-CN"/>
        </w:rPr>
        <w:t>为其他</w:t>
      </w:r>
      <w:r>
        <w:rPr>
          <w:rFonts w:ascii="宋体" w:hAnsi="宋体" w:hint="eastAsia"/>
          <w:szCs w:val="21"/>
        </w:rPr>
        <w:t>语言，但必须附中文译文。翻译的中文资料与外文资料如果出现差异时，以中文为准，但翻译错误的除外。</w:t>
      </w:r>
    </w:p>
    <w:p>
      <w:pPr>
        <w:ind w:firstLine="470" w:firstLineChars="196"/>
        <w:rPr>
          <w:rFonts w:ascii="宋体" w:hAnsi="宋体"/>
          <w:szCs w:val="21"/>
        </w:rPr>
      </w:pPr>
      <w:r>
        <w:rPr>
          <w:rFonts w:ascii="宋体" w:hAnsi="宋体" w:hint="eastAsia"/>
          <w:szCs w:val="21"/>
        </w:rPr>
        <w:t>14.2 除技术规范另有规定外，投标文件使用的度量单位，均采用中华人民共和国法定计量单位。</w:t>
      </w:r>
    </w:p>
    <w:p>
      <w:pPr>
        <w:rPr>
          <w:rFonts w:ascii="黑体" w:eastAsia="黑体" w:hAnsi="宋体"/>
        </w:rPr>
      </w:pPr>
      <w:bookmarkEnd w:id="88"/>
      <w:r>
        <w:rPr>
          <w:rFonts w:ascii="黑体" w:eastAsia="黑体" w:hAnsi="宋体" w:hint="eastAsia"/>
        </w:rPr>
        <w:t>15．</w:t>
      </w:r>
      <w:bookmarkStart w:id="89" w:name="_Hlk72401567"/>
      <w:r>
        <w:rPr>
          <w:rFonts w:ascii="黑体" w:eastAsia="黑体" w:hAnsi="宋体" w:hint="eastAsia"/>
        </w:rPr>
        <w:t>投标文件的组成</w:t>
      </w:r>
    </w:p>
    <w:p>
      <w:pPr>
        <w:ind w:firstLine="470" w:firstLineChars="196"/>
        <w:rPr>
          <w:rFonts w:ascii="宋体" w:hAnsi="宋体"/>
          <w:szCs w:val="21"/>
        </w:rPr>
      </w:pPr>
      <w:r>
        <w:rPr>
          <w:rFonts w:ascii="宋体" w:hAnsi="宋体" w:hint="eastAsia"/>
          <w:szCs w:val="21"/>
        </w:rPr>
        <w:t>具体内容在招标文件专用条款中进行规定。</w:t>
      </w:r>
    </w:p>
    <w:p>
      <w:pPr>
        <w:rPr>
          <w:rFonts w:ascii="黑体" w:eastAsia="黑体" w:hAnsi="宋体"/>
        </w:rPr>
      </w:pPr>
      <w:r>
        <w:rPr>
          <w:rFonts w:ascii="黑体" w:eastAsia="黑体" w:hAnsi="宋体"/>
        </w:rPr>
        <w:t>16．投标文件格式</w:t>
      </w:r>
    </w:p>
    <w:p>
      <w:pPr>
        <w:ind w:firstLine="470" w:firstLineChars="196"/>
        <w:rPr>
          <w:rFonts w:ascii="宋体" w:hAnsi="宋体"/>
          <w:szCs w:val="21"/>
        </w:rPr>
      </w:pPr>
      <w:r>
        <w:rPr>
          <w:rFonts w:ascii="宋体" w:hAnsi="宋体" w:hint="eastAsia"/>
          <w:szCs w:val="21"/>
        </w:rPr>
        <w:t>投标文件包括本通用条款第</w:t>
      </w:r>
      <w:r>
        <w:rPr>
          <w:rFonts w:ascii="宋体" w:hAnsi="宋体"/>
          <w:szCs w:val="21"/>
        </w:rPr>
        <w:t>15条中规定的内容。如招标文件提供了投标文件格式，则</w:t>
      </w:r>
      <w:r>
        <w:rPr>
          <w:rFonts w:ascii="宋体" w:hAnsi="宋体" w:hint="eastAsia"/>
          <w:b/>
          <w:bCs/>
          <w:szCs w:val="21"/>
        </w:rPr>
        <w:t>投标人提交的投标文件应毫无例外地使用招标文件所提供的相应格式</w:t>
      </w:r>
      <w:r>
        <w:rPr>
          <w:rFonts w:ascii="宋体" w:hAnsi="宋体" w:hint="eastAsia"/>
          <w:szCs w:val="21"/>
        </w:rPr>
        <w:t>（表格均可按</w:t>
      </w:r>
      <w:r>
        <w:rPr>
          <w:rFonts w:ascii="宋体" w:eastAsia="宋体" w:hAnsi="宋体" w:hint="eastAsia"/>
          <w:szCs w:val="21"/>
          <w:lang w:eastAsia="zh-CN"/>
        </w:rPr>
        <w:t>同一</w:t>
      </w:r>
      <w:r>
        <w:rPr>
          <w:rFonts w:ascii="宋体" w:hAnsi="宋体" w:hint="eastAsia"/>
          <w:szCs w:val="21"/>
        </w:rPr>
        <w:t>格式扩展）。</w:t>
      </w:r>
    </w:p>
    <w:p>
      <w:pPr>
        <w:rPr>
          <w:rFonts w:ascii="黑体" w:eastAsia="黑体" w:hAnsi="宋体"/>
        </w:rPr>
      </w:pPr>
      <w:r>
        <w:rPr>
          <w:rFonts w:ascii="黑体" w:eastAsia="黑体" w:hAnsi="宋体" w:hint="eastAsia"/>
        </w:rPr>
        <w:t>17．投标货币</w:t>
      </w:r>
    </w:p>
    <w:p>
      <w:pPr>
        <w:ind w:firstLine="470" w:firstLineChars="196"/>
        <w:rPr>
          <w:rFonts w:ascii="宋体" w:hAnsi="宋体"/>
          <w:szCs w:val="21"/>
        </w:rPr>
      </w:pPr>
      <w:r>
        <w:rPr>
          <w:rFonts w:ascii="宋体" w:hAnsi="宋体" w:hint="eastAsia"/>
          <w:szCs w:val="21"/>
        </w:rPr>
        <w:t>本项目的投标报价应以人民币计。</w:t>
      </w:r>
    </w:p>
    <w:p>
      <w:pPr>
        <w:rPr>
          <w:rFonts w:ascii="黑体" w:eastAsia="黑体" w:hAnsi="宋体"/>
        </w:rPr>
      </w:pPr>
      <w:bookmarkEnd w:id="89"/>
      <w:r>
        <w:rPr>
          <w:rFonts w:ascii="黑体" w:eastAsia="黑体" w:hAnsi="宋体" w:hint="eastAsia"/>
        </w:rPr>
        <w:t>18．</w:t>
      </w:r>
      <w:bookmarkStart w:id="90" w:name="_Hlk72401735"/>
      <w:r>
        <w:rPr>
          <w:rFonts w:ascii="黑体" w:eastAsia="黑体" w:hAnsi="宋体" w:hint="eastAsia"/>
        </w:rPr>
        <w:t>证明投标文件投标技术方案的合格性和符合招标文件规定的文件要求</w:t>
      </w:r>
    </w:p>
    <w:p>
      <w:pPr>
        <w:ind w:firstLine="470" w:firstLineChars="196"/>
        <w:rPr>
          <w:rFonts w:ascii="宋体" w:hAnsi="宋体"/>
          <w:szCs w:val="21"/>
        </w:rPr>
      </w:pPr>
      <w:r>
        <w:rPr>
          <w:rFonts w:ascii="宋体" w:hAnsi="宋体" w:hint="eastAsia"/>
          <w:szCs w:val="21"/>
        </w:rPr>
        <w:t>18</w:t>
      </w:r>
      <w:r>
        <w:rPr>
          <w:rFonts w:ascii="宋体" w:hAnsi="宋体"/>
          <w:szCs w:val="21"/>
        </w:rPr>
        <w:t xml:space="preserve">.1 </w:t>
      </w:r>
      <w:r>
        <w:rPr>
          <w:rFonts w:ascii="宋体" w:hAnsi="宋体" w:hint="eastAsia"/>
          <w:szCs w:val="21"/>
        </w:rPr>
        <w:t>投标人应提交证明文件，证明其投标技术方案项下的货物和服务的合格性符合招标文件规定。该投标技术方案及其证明文件均作为投标文件组成部分。</w:t>
      </w:r>
    </w:p>
    <w:p>
      <w:pPr>
        <w:ind w:firstLine="470" w:firstLineChars="196"/>
        <w:rPr>
          <w:rFonts w:ascii="宋体" w:hAnsi="宋体"/>
          <w:szCs w:val="21"/>
        </w:rPr>
      </w:pPr>
      <w:r>
        <w:rPr>
          <w:rFonts w:ascii="宋体" w:hAnsi="宋体"/>
          <w:szCs w:val="21"/>
        </w:rPr>
        <w:t>1</w:t>
      </w:r>
      <w:r>
        <w:rPr>
          <w:rFonts w:ascii="宋体" w:hAnsi="宋体" w:hint="eastAsia"/>
          <w:szCs w:val="21"/>
        </w:rPr>
        <w:t>8</w:t>
      </w:r>
      <w:r>
        <w:rPr>
          <w:rFonts w:ascii="宋体" w:hAnsi="宋体"/>
          <w:szCs w:val="21"/>
        </w:rPr>
        <w:t xml:space="preserve">.2 </w:t>
      </w:r>
      <w:r>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hAnsi="宋体"/>
          <w:szCs w:val="21"/>
        </w:rPr>
      </w:pPr>
      <w:r>
        <w:rPr>
          <w:rFonts w:ascii="宋体" w:hAnsi="宋体" w:hint="eastAsia"/>
          <w:szCs w:val="21"/>
        </w:rPr>
        <w:t>18.2.1主要技术指标和性能的详细说明。</w:t>
      </w:r>
    </w:p>
    <w:p>
      <w:pPr>
        <w:ind w:firstLine="470" w:firstLineChars="196"/>
        <w:rPr>
          <w:rFonts w:ascii="宋体" w:hAnsi="宋体"/>
          <w:szCs w:val="21"/>
        </w:rPr>
      </w:pPr>
      <w:r>
        <w:rPr>
          <w:rFonts w:ascii="宋体" w:hAnsi="宋体" w:hint="eastAsia"/>
          <w:szCs w:val="21"/>
        </w:rPr>
        <w:t>18.2.</w:t>
      </w:r>
      <w:r>
        <w:rPr>
          <w:rFonts w:ascii="宋体" w:hAnsi="宋体"/>
          <w:szCs w:val="21"/>
        </w:rPr>
        <w:t>2</w:t>
      </w:r>
      <w:r>
        <w:rPr>
          <w:rFonts w:ascii="宋体" w:hAnsi="宋体" w:hint="eastAsia"/>
          <w:szCs w:val="21"/>
        </w:rPr>
        <w:t>投标产品从采购人开始使用至招标文件中规定的周期内正常、连续地使用</w:t>
      </w:r>
      <w:r>
        <w:rPr>
          <w:rFonts w:ascii="宋体" w:eastAsia="宋体" w:hAnsi="宋体" w:hint="eastAsia"/>
          <w:szCs w:val="21"/>
          <w:lang w:eastAsia="zh-CN"/>
        </w:rPr>
        <w:t>所必需的</w:t>
      </w:r>
      <w:r>
        <w:rPr>
          <w:rFonts w:ascii="宋体" w:hAnsi="宋体" w:hint="eastAsia"/>
          <w:szCs w:val="21"/>
        </w:rPr>
        <w:t>备件和专用工具清单，包括备件和专用工具的货源及现行价格。</w:t>
      </w:r>
    </w:p>
    <w:p>
      <w:pPr>
        <w:ind w:firstLine="470" w:firstLineChars="196"/>
        <w:rPr>
          <w:rFonts w:ascii="宋体" w:hAnsi="宋体"/>
          <w:szCs w:val="21"/>
        </w:rPr>
      </w:pPr>
      <w:r>
        <w:rPr>
          <w:rFonts w:ascii="宋体" w:hAnsi="宋体" w:hint="eastAsia"/>
          <w:szCs w:val="21"/>
        </w:rPr>
        <w:t>18.2.</w:t>
      </w:r>
      <w:r>
        <w:rPr>
          <w:rFonts w:ascii="宋体" w:hAnsi="宋体"/>
          <w:szCs w:val="21"/>
        </w:rPr>
        <w:t>3</w:t>
      </w:r>
      <w:r>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hAnsi="宋体"/>
          <w:szCs w:val="21"/>
        </w:rPr>
      </w:pPr>
      <w:r>
        <w:rPr>
          <w:rFonts w:ascii="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ascii="宋体" w:hAnsi="宋体" w:hint="eastAsia"/>
          <w:szCs w:val="21"/>
        </w:rPr>
        <w:t>；</w:t>
      </w:r>
    </w:p>
    <w:p>
      <w:pPr>
        <w:ind w:firstLine="470" w:firstLineChars="196"/>
        <w:rPr>
          <w:rFonts w:ascii="宋体" w:hAnsi="宋体"/>
          <w:szCs w:val="21"/>
        </w:rPr>
      </w:pPr>
      <w:r>
        <w:rPr>
          <w:rFonts w:ascii="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hAnsi="宋体"/>
          <w:szCs w:val="21"/>
        </w:rPr>
      </w:pPr>
      <w:r>
        <w:rPr>
          <w:rFonts w:ascii="宋体" w:hAnsi="宋体" w:hint="eastAsia"/>
          <w:szCs w:val="21"/>
        </w:rPr>
        <w:t>18.3相关资料不符合18.2款要求的，评审委员会有权认定为投标技术方案不合格响应，其相关分数予以扣减或作投标无效处理。</w:t>
      </w:r>
    </w:p>
    <w:p>
      <w:pPr>
        <w:ind w:firstLine="470" w:firstLineChars="196"/>
        <w:rPr>
          <w:rFonts w:ascii="宋体" w:hAnsi="宋体"/>
          <w:szCs w:val="21"/>
        </w:rPr>
      </w:pPr>
      <w:r>
        <w:rPr>
          <w:rFonts w:ascii="宋体" w:hAnsi="宋体"/>
          <w:szCs w:val="21"/>
        </w:rPr>
        <w:t>1</w:t>
      </w:r>
      <w:r>
        <w:rPr>
          <w:rFonts w:ascii="宋体" w:hAnsi="宋体" w:hint="eastAsia"/>
          <w:szCs w:val="21"/>
        </w:rPr>
        <w:t>8</w:t>
      </w:r>
      <w:r>
        <w:rPr>
          <w:rFonts w:ascii="宋体" w:hAnsi="宋体"/>
          <w:szCs w:val="21"/>
        </w:rPr>
        <w:t>.</w:t>
      </w:r>
      <w:r>
        <w:rPr>
          <w:rFonts w:ascii="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ascii="宋体" w:hAnsi="宋体" w:hint="eastAsia"/>
          <w:szCs w:val="21"/>
        </w:rPr>
        <w:t>，由评审委员会来评判。</w:t>
      </w:r>
    </w:p>
    <w:p>
      <w:pPr>
        <w:ind w:firstLine="470" w:firstLineChars="196"/>
        <w:rPr>
          <w:rFonts w:ascii="宋体" w:hAnsi="宋体"/>
          <w:szCs w:val="21"/>
        </w:rPr>
      </w:pPr>
      <w:r>
        <w:rPr>
          <w:rFonts w:ascii="宋体" w:hAnsi="宋体" w:hint="eastAsia"/>
          <w:szCs w:val="21"/>
        </w:rPr>
        <w:t>18.5除非另有规定或说明，投标人对同一项目投标时，不得同时提供两套或两套以上的投标方案。</w:t>
      </w:r>
    </w:p>
    <w:p>
      <w:pPr>
        <w:rPr>
          <w:rFonts w:ascii="黑体" w:eastAsia="黑体" w:hAnsi="宋体"/>
        </w:rPr>
      </w:pPr>
      <w:bookmarkEnd w:id="90"/>
      <w:r>
        <w:rPr>
          <w:rFonts w:ascii="黑体" w:eastAsia="黑体" w:hAnsi="宋体" w:hint="eastAsia"/>
        </w:rPr>
        <w:t>19．</w:t>
      </w:r>
      <w:bookmarkStart w:id="91" w:name="_Hlk72402034"/>
      <w:r>
        <w:rPr>
          <w:rFonts w:ascii="黑体" w:eastAsia="黑体" w:hAnsi="宋体" w:hint="eastAsia"/>
        </w:rPr>
        <w:t>投标文件其他证明文件的要求</w:t>
      </w:r>
    </w:p>
    <w:p>
      <w:pPr>
        <w:rPr>
          <w:rFonts w:ascii="宋体" w:hAnsi="宋体"/>
          <w:color w:val="FF0000"/>
          <w:szCs w:val="21"/>
        </w:rPr>
      </w:pPr>
      <w:r>
        <w:rPr>
          <w:rFonts w:ascii="宋体" w:hAnsi="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92" w:name="_Hlk71407299"/>
    </w:p>
    <w:p>
      <w:pPr>
        <w:ind w:firstLine="470" w:firstLineChars="196"/>
        <w:rPr>
          <w:rFonts w:ascii="宋体" w:hAnsi="宋体"/>
          <w:szCs w:val="21"/>
        </w:rPr>
      </w:pPr>
      <w:bookmarkEnd w:id="92"/>
      <w:r>
        <w:rPr>
          <w:rFonts w:ascii="宋体" w:hAnsi="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eastAsia="黑体" w:hAnsi="宋体"/>
        </w:rPr>
      </w:pPr>
      <w:r>
        <w:rPr>
          <w:rFonts w:ascii="黑体" w:eastAsia="黑体" w:hAnsi="宋体" w:hint="eastAsia"/>
        </w:rPr>
        <w:t>20．投标有效期</w:t>
      </w:r>
    </w:p>
    <w:p>
      <w:pPr>
        <w:ind w:firstLine="470" w:firstLineChars="196"/>
        <w:rPr>
          <w:rFonts w:ascii="宋体" w:hAnsi="宋体"/>
          <w:szCs w:val="21"/>
        </w:rPr>
      </w:pPr>
      <w:bookmarkEnd w:id="91"/>
      <w:bookmarkStart w:id="93" w:name="_Hlk72402214"/>
      <w:r>
        <w:rPr>
          <w:rFonts w:ascii="宋体" w:hAnsi="宋体" w:hint="eastAsia"/>
          <w:szCs w:val="21"/>
        </w:rPr>
        <w:t>20.1 投标有效期为</w:t>
      </w:r>
      <w:r>
        <w:rPr>
          <w:rFonts w:ascii="Arial" w:hAnsi="Arial" w:cs="Arial" w:hint="eastAsia"/>
          <w:szCs w:val="21"/>
        </w:rPr>
        <w:t>从投标截止之日算起的日历天数。</w:t>
      </w:r>
      <w:r>
        <w:rPr>
          <w:rFonts w:ascii="宋体" w:hAnsi="宋体" w:hint="eastAsia"/>
          <w:szCs w:val="21"/>
        </w:rPr>
        <w:t>在此期限内，所有投标文件均保持有效。</w:t>
      </w:r>
    </w:p>
    <w:p>
      <w:pPr>
        <w:ind w:firstLine="470" w:firstLineChars="196"/>
        <w:rPr>
          <w:rFonts w:ascii="宋体" w:hAnsi="宋体"/>
          <w:szCs w:val="21"/>
        </w:rPr>
      </w:pPr>
      <w:r>
        <w:rPr>
          <w:rFonts w:ascii="宋体" w:hAnsi="宋体" w:hint="eastAsia"/>
          <w:szCs w:val="21"/>
        </w:rPr>
        <w:t>20.2 在特殊情况下，采购代理机构在原定的投标有效期满之前，采购代理机构可以根据需要以书面形式（包括采购代理机构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w:t>
      </w:r>
    </w:p>
    <w:p>
      <w:pPr>
        <w:ind w:firstLine="470" w:firstLineChars="196"/>
        <w:rPr>
          <w:rFonts w:ascii="宋体" w:hAnsi="宋体"/>
          <w:szCs w:val="21"/>
        </w:rPr>
      </w:pPr>
      <w:r>
        <w:rPr>
          <w:rFonts w:ascii="宋体" w:hAnsi="宋体" w:hint="eastAsia"/>
          <w:szCs w:val="21"/>
        </w:rPr>
        <w:t>20</w:t>
      </w:r>
      <w:r>
        <w:rPr>
          <w:rFonts w:ascii="宋体" w:hAnsi="宋体"/>
          <w:szCs w:val="21"/>
        </w:rPr>
        <w:t>.3</w:t>
      </w:r>
      <w:r>
        <w:rPr>
          <w:rFonts w:ascii="宋体" w:hAnsi="宋体" w:hint="eastAsia"/>
          <w:szCs w:val="21"/>
        </w:rPr>
        <w:t xml:space="preserve"> 中标供应商的投标文件有效期，截止于完成本招标文件规定的全部项目内容，并通过竣工验收及保修期结束。</w:t>
      </w:r>
    </w:p>
    <w:p>
      <w:pPr>
        <w:rPr>
          <w:rFonts w:ascii="黑体" w:eastAsia="黑体" w:hAnsi="宋体"/>
        </w:rPr>
      </w:pPr>
      <w:bookmarkEnd w:id="93"/>
      <w:r>
        <w:rPr>
          <w:rFonts w:ascii="黑体" w:eastAsia="黑体" w:hAnsi="宋体" w:hint="eastAsia"/>
        </w:rPr>
        <w:t>21．</w:t>
      </w:r>
      <w:bookmarkStart w:id="94" w:name="_Hlk72402325"/>
      <w:r>
        <w:rPr>
          <w:rFonts w:ascii="黑体" w:eastAsia="黑体" w:hAnsi="宋体" w:hint="eastAsia"/>
        </w:rPr>
        <w:t xml:space="preserve">关于投标保证金 </w:t>
      </w:r>
    </w:p>
    <w:p>
      <w:pPr>
        <w:rPr>
          <w:rFonts w:ascii="宋体" w:hAnsi="宋体"/>
          <w:szCs w:val="21"/>
        </w:rPr>
      </w:pPr>
      <w:r>
        <w:rPr>
          <w:rFonts w:ascii="宋体" w:hAnsi="宋体" w:hint="eastAsia"/>
          <w:szCs w:val="21"/>
        </w:rPr>
        <w:t xml:space="preserve">    21.1 </w:t>
      </w:r>
      <w:r>
        <w:rPr>
          <w:rFonts w:hint="eastAsia"/>
        </w:rPr>
        <w:t>根据《</w:t>
      </w:r>
      <w:r>
        <w:t>深圳市财政局关于明确政府采购保证金管理工作的通知</w:t>
      </w:r>
      <w:r>
        <w:rPr>
          <w:rFonts w:hint="eastAsia"/>
        </w:rPr>
        <w:t>》（深财购[</w:t>
      </w:r>
      <w:r>
        <w:t>2019]42</w:t>
      </w:r>
      <w:r>
        <w:rPr>
          <w:rFonts w:hint="eastAsia"/>
        </w:rPr>
        <w:t>号）文的规定，本项目不收取投标保证金。</w:t>
      </w:r>
    </w:p>
    <w:p>
      <w:pPr>
        <w:rPr>
          <w:rFonts w:ascii="黑体" w:eastAsia="黑体" w:hAnsi="宋体"/>
        </w:rPr>
      </w:pPr>
      <w:r>
        <w:rPr>
          <w:rFonts w:ascii="黑体" w:eastAsia="黑体" w:hAnsi="宋体" w:hint="eastAsia"/>
        </w:rPr>
        <w:t>22．投标人的替代方案</w:t>
      </w:r>
    </w:p>
    <w:p>
      <w:pPr>
        <w:ind w:firstLine="470" w:firstLineChars="196"/>
        <w:rPr>
          <w:rFonts w:ascii="宋体" w:hAnsi="宋体"/>
          <w:szCs w:val="21"/>
        </w:rPr>
      </w:pPr>
      <w:r>
        <w:rPr>
          <w:rFonts w:ascii="宋体" w:hAnsi="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70" w:firstLineChars="196"/>
        <w:rPr>
          <w:rFonts w:ascii="宋体" w:hAnsi="宋体"/>
          <w:szCs w:val="21"/>
        </w:rPr>
      </w:pPr>
      <w:r>
        <w:rPr>
          <w:rFonts w:ascii="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w:t>
      </w:r>
      <w:r>
        <w:rPr>
          <w:rFonts w:ascii="宋体" w:eastAsia="宋体" w:hAnsi="宋体" w:hint="eastAsia"/>
          <w:szCs w:val="21"/>
          <w:lang w:eastAsia="zh-CN"/>
        </w:rPr>
        <w:t>的其他</w:t>
      </w:r>
      <w:r>
        <w:rPr>
          <w:rFonts w:ascii="宋体" w:hAnsi="宋体" w:hint="eastAsia"/>
          <w:szCs w:val="21"/>
        </w:rPr>
        <w:t>详细资料。</w:t>
      </w:r>
    </w:p>
    <w:p>
      <w:pPr>
        <w:rPr>
          <w:rFonts w:ascii="黑体" w:eastAsia="黑体" w:hAnsi="宋体"/>
        </w:rPr>
      </w:pPr>
      <w:bookmarkEnd w:id="94"/>
      <w:r>
        <w:rPr>
          <w:rFonts w:ascii="黑体" w:eastAsia="黑体" w:hAnsi="宋体" w:hint="eastAsia"/>
        </w:rPr>
        <w:t>23．</w:t>
      </w:r>
      <w:bookmarkStart w:id="95" w:name="_Hlk72402860"/>
      <w:r>
        <w:rPr>
          <w:rFonts w:ascii="黑体" w:eastAsia="黑体" w:hAnsi="宋体"/>
        </w:rPr>
        <w:t>投标文件的</w:t>
      </w:r>
      <w:r>
        <w:rPr>
          <w:rFonts w:ascii="黑体" w:eastAsia="黑体" w:hAnsi="宋体" w:hint="eastAsia"/>
        </w:rPr>
        <w:t>制作</w:t>
      </w:r>
      <w:r>
        <w:rPr>
          <w:rFonts w:ascii="黑体" w:eastAsia="黑体" w:hAnsi="宋体"/>
        </w:rPr>
        <w:t>要求</w:t>
      </w:r>
    </w:p>
    <w:p>
      <w:pPr>
        <w:ind w:firstLine="470" w:firstLineChars="196"/>
        <w:rPr>
          <w:rFonts w:ascii="宋体" w:hAnsi="宋体"/>
        </w:rPr>
      </w:pPr>
      <w:r>
        <w:rPr>
          <w:rFonts w:ascii="宋体" w:hAnsi="宋体" w:hint="eastAsia"/>
        </w:rPr>
        <w:t>23.1投标人应准备所投项目的电子投标文件一份。此电子投标文件须由投标人根据采购代理机构提供的后缀名为.szczf的电子招标文件，下载并使用相应的深圳智慧采购平台投标文件制作专用软件打开招标文件（.szczf格式）【下载地址：</w:t>
      </w:r>
      <w:r>
        <w:t>http://zfcg.szggzy.com/</w:t>
      </w:r>
      <w:r>
        <w:rPr>
          <w:rFonts w:ascii="宋体" w:hAnsi="宋体" w:hint="eastAsia"/>
        </w:rPr>
        <w:t>TPBidder/DownLoad/深圳智慧采购平台投标文件制作专用软件.zip】。</w:t>
      </w:r>
    </w:p>
    <w:p>
      <w:pPr>
        <w:ind w:firstLine="470" w:firstLineChars="196"/>
        <w:rPr>
          <w:rFonts w:ascii="宋体" w:hAnsi="宋体"/>
        </w:rPr>
      </w:pPr>
      <w:r>
        <w:rPr>
          <w:rFonts w:ascii="宋体" w:hAnsi="宋体" w:hint="eastAsia"/>
        </w:rPr>
        <w:t>23.2投标人在使用《投标文件制作软件》编制投标书时须注意：</w:t>
      </w:r>
    </w:p>
    <w:p>
      <w:pPr>
        <w:ind w:firstLine="470" w:firstLineChars="196"/>
        <w:rPr>
          <w:rFonts w:ascii="宋体" w:hAnsi="宋体"/>
        </w:rPr>
      </w:pPr>
      <w:r>
        <w:rPr>
          <w:rFonts w:ascii="宋体" w:hAnsi="宋体" w:hint="eastAsia"/>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hAnsi="宋体"/>
        </w:rPr>
      </w:pPr>
      <w:r>
        <w:rPr>
          <w:rFonts w:ascii="宋体" w:hAnsi="宋体" w:hint="eastAsia"/>
        </w:rPr>
        <w:t>23.2.2不能用非本公司的电子密钥加密本公司的投标文件，或者</w:t>
      </w:r>
      <w:r>
        <w:rPr>
          <w:rFonts w:ascii="宋体" w:eastAsia="宋体" w:hAnsi="宋体" w:hint="eastAsia"/>
          <w:lang w:eastAsia="zh-CN"/>
        </w:rPr>
        <w:t>用其他</w:t>
      </w:r>
      <w:r>
        <w:rPr>
          <w:rFonts w:ascii="宋体" w:hAnsi="宋体" w:hint="eastAsia"/>
        </w:rPr>
        <w:t>公司的登录用户上传本公司的投标文件。</w:t>
      </w:r>
    </w:p>
    <w:p>
      <w:pPr>
        <w:ind w:firstLine="470" w:firstLineChars="196"/>
        <w:rPr>
          <w:rFonts w:ascii="宋体" w:hAnsi="宋体"/>
        </w:rPr>
      </w:pPr>
      <w:r>
        <w:rPr>
          <w:rFonts w:ascii="宋体" w:hAnsi="宋体" w:hint="eastAsia"/>
        </w:rPr>
        <w:t>23.2.3要求用《投标文件制作软件》编制投标书的包，不能</w:t>
      </w:r>
      <w:r>
        <w:rPr>
          <w:rFonts w:ascii="宋体" w:eastAsia="宋体" w:hAnsi="宋体" w:hint="eastAsia"/>
          <w:lang w:eastAsia="zh-CN"/>
        </w:rPr>
        <w:t>用其他方式</w:t>
      </w:r>
      <w:r>
        <w:rPr>
          <w:rFonts w:ascii="宋体" w:hAnsi="宋体" w:hint="eastAsia"/>
        </w:rPr>
        <w:t>编制投标书。编制投标文件时，电脑须连通互联网。</w:t>
      </w:r>
    </w:p>
    <w:p>
      <w:pPr>
        <w:ind w:firstLine="470" w:firstLineChars="196"/>
        <w:rPr>
          <w:rFonts w:ascii="宋体" w:hAnsi="宋体"/>
        </w:rPr>
      </w:pPr>
      <w:r>
        <w:rPr>
          <w:rFonts w:ascii="宋体" w:hAnsi="宋体" w:hint="eastAsia"/>
        </w:rPr>
        <w:t>23.2.4投标文件不能带病毒。采购代理机构将用专业杀毒软件对投标文件进行病毒检测，如果这两种软件均报告发现病毒，则采购代理机构认为该投标文件带病毒。</w:t>
      </w:r>
    </w:p>
    <w:p>
      <w:pPr>
        <w:ind w:firstLine="470" w:firstLineChars="196"/>
        <w:rPr>
          <w:rFonts w:ascii="宋体" w:hAnsi="宋体"/>
        </w:rPr>
      </w:pPr>
      <w:r>
        <w:rPr>
          <w:rFonts w:ascii="宋体" w:hAnsi="宋体" w:hint="eastAsia"/>
        </w:rPr>
        <w:t>23.2.5完整填写“投标关键信息”，如下图所示：</w:t>
      </w:r>
    </w:p>
    <w:p>
      <w:pPr>
        <w:ind w:firstLine="470" w:firstLineChars="196"/>
        <w:rPr>
          <w:rFonts w:ascii="宋体" w:hAnsi="宋体"/>
        </w:rPr>
      </w:pPr>
      <w:r>
        <w:rPr>
          <w:rFonts w:ascii="宋体" w:hAnsi="宋体"/>
        </w:rPr>
        <w:drawing>
          <wp:inline distT="0" distB="0" distL="114300" distR="114300">
            <wp:extent cx="5278755" cy="2721610"/>
            <wp:effectExtent l="0" t="0" r="17145" b="2540"/>
            <wp:docPr id="2"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形用户界面, 应用程序&#10;&#10;描述已自动生成"/>
                    <pic:cNvPicPr>
                      <a:picLocks noChangeAspect="1"/>
                    </pic:cNvPicPr>
                  </pic:nvPicPr>
                  <pic:blipFill>
                    <a:blip xmlns:r="http://schemas.openxmlformats.org/officeDocument/2006/relationships" r:embed="rId5"/>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b/>
        </w:rPr>
      </w:pPr>
      <w:r>
        <w:rPr>
          <w:rFonts w:ascii="宋体" w:hAnsi="宋体" w:hint="eastAsia"/>
          <w:b/>
        </w:rPr>
        <w:t>备注：上述“开标一览表”中的“投标总价”将作为价格分计算依据；</w:t>
      </w:r>
      <w:r>
        <w:rPr>
          <w:rFonts w:ascii="宋体" w:eastAsia="宋体" w:hAnsi="宋体" w:hint="eastAsia"/>
          <w:b/>
          <w:lang w:eastAsia="zh-CN"/>
        </w:rPr>
        <w:t>其他信息</w:t>
      </w:r>
      <w:r>
        <w:rPr>
          <w:rFonts w:ascii="宋体" w:hAnsi="宋体" w:hint="eastAsia"/>
          <w:b/>
        </w:rPr>
        <w:t>仅是对投标文件相关内容的概括性表述，不作为评审依据。</w:t>
      </w:r>
    </w:p>
    <w:p>
      <w:pPr>
        <w:ind w:firstLine="470" w:firstLineChars="196"/>
        <w:rPr>
          <w:rFonts w:ascii="宋体" w:hAnsi="宋体"/>
        </w:rPr>
      </w:pPr>
      <w:r>
        <w:rPr>
          <w:rFonts w:ascii="宋体" w:hAnsi="宋体" w:hint="eastAsia"/>
        </w:rPr>
        <w:t>23.2.6投标人在编辑投标文件时，</w:t>
      </w:r>
      <w:r>
        <w:rPr>
          <w:rFonts w:ascii="宋体" w:hAnsi="宋体" w:hint="eastAsia"/>
          <w:b/>
        </w:rPr>
        <w:t>在投标文件目录中属于本节点内容的必须在本节点中填写，填写到其他节点或附件，</w:t>
      </w:r>
      <w:r>
        <w:rPr>
          <w:rFonts w:ascii="宋体" w:hAnsi="宋体" w:hint="eastAsia"/>
        </w:rPr>
        <w:t>一切后果由供应商自行承担。</w:t>
      </w:r>
    </w:p>
    <w:p>
      <w:pPr>
        <w:ind w:firstLine="470" w:firstLineChars="196"/>
        <w:rPr>
          <w:rFonts w:ascii="宋体" w:hAnsi="宋体"/>
        </w:rPr>
      </w:pPr>
      <w:r>
        <w:rPr>
          <w:rFonts w:ascii="宋体" w:hAnsi="宋体" w:hint="eastAsia"/>
        </w:rPr>
        <w:t>23.2.7投标文件编写完成后，</w:t>
      </w:r>
      <w:r>
        <w:rPr>
          <w:rFonts w:ascii="宋体" w:hAnsi="宋体" w:hint="eastAsia"/>
          <w:b/>
        </w:rPr>
        <w:t>必须用属于投标人的电子密钥进行加密，否则视同未盖公章，将导致投标文件无效。</w:t>
      </w:r>
    </w:p>
    <w:p>
      <w:pPr>
        <w:ind w:firstLine="470" w:firstLineChars="196"/>
        <w:rPr>
          <w:rFonts w:ascii="宋体" w:hAnsi="宋体"/>
        </w:rPr>
      </w:pPr>
      <w:r>
        <w:rPr>
          <w:rFonts w:ascii="宋体" w:hAnsi="宋体" w:hint="eastAsia"/>
        </w:rPr>
        <w:t>23.2.8采购代理机构不接受投标截止时间后递交的纸质、电子、传真等所有形式的投标文件。由于对网上政府采购系统操作不熟悉或自身电脑、网络等原因导致不能在投标截止时间之前上传投标文件，采购代理机构概不负责。建议于开标前一个工作日完成投标文件的制作与上传，如上传确有困难，请及时咨询。</w:t>
      </w:r>
    </w:p>
    <w:p>
      <w:pPr>
        <w:ind w:firstLine="470" w:firstLineChars="196"/>
        <w:rPr>
          <w:rFonts w:ascii="宋体" w:hAnsi="宋体"/>
        </w:rPr>
      </w:pPr>
      <w:r>
        <w:rPr>
          <w:rFonts w:ascii="宋体" w:hAnsi="宋体" w:hint="eastAsia"/>
        </w:rPr>
        <w:t>23.2.9如果开标时出现网络故障、技术故障，影响了政府采购活动，采购代理机构有权采取措施如延期、接受无法从网上上传的投标书等，以保障政府采购活动的公开、公平和公正。</w:t>
      </w:r>
    </w:p>
    <w:p>
      <w:pPr>
        <w:ind w:firstLine="470" w:firstLineChars="196"/>
        <w:rPr>
          <w:rFonts w:ascii="宋体" w:hAnsi="宋体"/>
        </w:rPr>
      </w:pPr>
      <w:r>
        <w:rPr>
          <w:rFonts w:ascii="宋体" w:hAnsi="宋体" w:hint="eastAsia"/>
        </w:rPr>
        <w:t>23.3电报、电话、传真形式的投标概不接受。</w:t>
      </w:r>
    </w:p>
    <w:p>
      <w:pPr>
        <w:ind w:firstLine="470" w:firstLineChars="196"/>
        <w:rPr>
          <w:rFonts w:ascii="宋体" w:hAnsi="宋体"/>
          <w:b/>
        </w:rPr>
      </w:pPr>
      <w:r>
        <w:rPr>
          <w:rFonts w:ascii="宋体" w:hAnsi="宋体" w:hint="eastAsia"/>
          <w:b/>
        </w:rPr>
        <w:t>23.4经投标人电子密钥加密的投标文件无须盖章或签字，</w:t>
      </w:r>
      <w:r>
        <w:rPr>
          <w:rFonts w:ascii="宋体" w:hAnsi="宋体" w:hint="eastAsia"/>
        </w:rPr>
        <w:t>专用条款另有要求的除外。</w:t>
      </w:r>
    </w:p>
    <w:p>
      <w:pPr>
        <w:ind w:firstLine="470" w:firstLineChars="196"/>
        <w:rPr>
          <w:rFonts w:ascii="宋体" w:hAnsi="宋体"/>
        </w:rPr>
      </w:pPr>
      <w:r>
        <w:rPr>
          <w:rFonts w:ascii="宋体" w:hAnsi="宋体" w:hint="eastAsia"/>
          <w:b/>
        </w:rPr>
        <w:t>23.5</w:t>
      </w:r>
      <w:r>
        <w:rPr>
          <w:rFonts w:ascii="宋体" w:hAnsi="宋体" w:hint="eastAsia"/>
        </w:rPr>
        <w:t xml:space="preserve"> 各类资格（资质）文件提供扫描件，专用条款另有要求的除外。</w:t>
      </w:r>
      <w:bookmarkEnd w:id="95"/>
    </w:p>
    <w:p>
      <w:pPr>
        <w:pStyle w:val="Heading2"/>
        <w:numPr>
          <w:ilvl w:val="0"/>
          <w:numId w:val="4"/>
        </w:numPr>
        <w:spacing w:before="120" w:beforeLines="50" w:after="120" w:afterLines="50"/>
        <w:ind w:left="562" w:hanging="562"/>
        <w:rPr>
          <w:sz w:val="28"/>
          <w:szCs w:val="28"/>
        </w:rPr>
      </w:pPr>
      <w:r>
        <w:rPr>
          <w:rFonts w:hint="eastAsia"/>
          <w:sz w:val="28"/>
          <w:szCs w:val="28"/>
        </w:rPr>
        <w:t>投标文件的递交</w:t>
      </w:r>
      <w:bookmarkStart w:id="96" w:name="_Hlk72405459"/>
    </w:p>
    <w:p>
      <w:pPr>
        <w:rPr>
          <w:rFonts w:ascii="黑体" w:eastAsia="黑体" w:hAnsi="宋体"/>
        </w:rPr>
      </w:pPr>
      <w:r>
        <w:rPr>
          <w:rFonts w:ascii="黑体" w:eastAsia="黑体" w:hAnsi="宋体" w:hint="eastAsia"/>
        </w:rPr>
        <w:t>24．投标书的保密</w:t>
      </w:r>
    </w:p>
    <w:p>
      <w:pPr>
        <w:ind w:firstLine="470" w:firstLineChars="196"/>
        <w:rPr>
          <w:rFonts w:ascii="宋体" w:hAnsi="宋体"/>
        </w:rPr>
      </w:pPr>
      <w:r>
        <w:rPr>
          <w:rFonts w:ascii="宋体" w:hAnsi="宋体" w:hint="eastAsia"/>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w:t>
      </w:r>
      <w:r>
        <w:rPr>
          <w:rFonts w:ascii="宋体" w:eastAsia="宋体" w:hAnsi="宋体" w:hint="eastAsia"/>
          <w:lang w:val="en-US" w:eastAsia="zh-CN"/>
        </w:rPr>
        <w:t>投</w:t>
      </w:r>
      <w:r>
        <w:rPr>
          <w:rFonts w:ascii="宋体" w:hAnsi="宋体" w:hint="eastAsia"/>
        </w:rPr>
        <w:t>标文件自动进行加密，此加密程序确保投标文件在到达开标时间后才能解密查看。在加密过程中，请按照软件提示进行操作。加密操作界面如下图所示：</w:t>
      </w:r>
    </w:p>
    <w:p>
      <w:pPr>
        <w:ind w:firstLine="470" w:firstLineChars="196"/>
        <w:rPr>
          <w:rFonts w:ascii="宋体" w:hAnsi="宋体"/>
        </w:rPr>
      </w:pPr>
      <w:r>
        <w:rPr>
          <w:rFonts w:ascii="宋体" w:hAnsi="宋体"/>
        </w:rPr>
        <w:drawing>
          <wp:inline distT="0" distB="0" distL="114300" distR="114300">
            <wp:extent cx="5278755" cy="2721610"/>
            <wp:effectExtent l="0" t="0" r="17145" b="2540"/>
            <wp:docPr id="3" name="图片 3"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形用户界面, 应用程序&#10;&#10;描述已自动生成"/>
                    <pic:cNvPicPr>
                      <a:picLocks noChangeAspect="1"/>
                    </pic:cNvPicPr>
                  </pic:nvPicPr>
                  <pic:blipFill>
                    <a:blip xmlns:r="http://schemas.openxmlformats.org/officeDocument/2006/relationships" r:embed="rId5"/>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rPr>
      </w:pPr>
      <w:r>
        <w:rPr>
          <w:rFonts w:ascii="宋体" w:hAnsi="宋体" w:hint="eastAsia"/>
        </w:rPr>
        <w:t>在投标文件制作软件点击【生成标书】按钮进入【填写开标一览表界面】界面，在该界面填写完开标一览表信息后点击【确定】，进入投标文件生成环节。</w:t>
      </w:r>
      <w:r>
        <w:rPr>
          <w:rFonts w:ascii="宋体" w:hAnsi="宋体"/>
        </w:rPr>
        <w:drawing>
          <wp:inline distT="0" distB="0" distL="114300" distR="114300">
            <wp:extent cx="5278755" cy="2732405"/>
            <wp:effectExtent l="0" t="0" r="17145" b="10795"/>
            <wp:docPr id="4" name="图片 4"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10;&#10;描述已自动生成"/>
                    <pic:cNvPicPr>
                      <a:picLocks noChangeAspect="1"/>
                    </pic:cNvPicPr>
                  </pic:nvPicPr>
                  <pic:blipFill>
                    <a:blip xmlns:r="http://schemas.openxmlformats.org/officeDocument/2006/relationships" r:embed="rId6"/>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hAnsi="宋体"/>
        </w:rPr>
      </w:pPr>
      <w:r>
        <w:rPr>
          <w:rFonts w:ascii="宋体" w:hAnsi="宋体" w:hint="eastAsia"/>
        </w:rPr>
        <w:t>投标文件制作软件会在投标文件生成过程中，提示用户输入密码，输入密码后对投标文件自动进行加密。</w:t>
      </w:r>
    </w:p>
    <w:p>
      <w:pPr>
        <w:ind w:firstLine="480" w:firstLineChars="200"/>
        <w:rPr>
          <w:rFonts w:ascii="宋体" w:hAnsi="宋体"/>
          <w:b/>
        </w:rPr>
      </w:pPr>
      <w:r>
        <w:rPr>
          <w:rFonts w:ascii="宋体" w:hAnsi="宋体" w:hint="eastAsia"/>
          <w:b/>
        </w:rPr>
        <w:t>24.2若采购项目出现延期情况：</w:t>
      </w:r>
    </w:p>
    <w:p>
      <w:pPr>
        <w:ind w:firstLine="480" w:firstLineChars="200"/>
        <w:rPr>
          <w:rFonts w:ascii="黑体" w:eastAsia="黑体" w:hAnsi="宋体"/>
          <w:b/>
        </w:rPr>
      </w:pPr>
      <w:r>
        <w:rPr>
          <w:rFonts w:ascii="宋体" w:hAnsi="宋体" w:hint="eastAsia"/>
          <w:b/>
        </w:rPr>
        <w:t>如果供下载的招标文件（后缀名为.</w:t>
      </w:r>
      <w:r>
        <w:rPr>
          <w:rFonts w:ascii="宋体" w:hAnsi="宋体"/>
          <w:b/>
        </w:rPr>
        <w:t>szczf</w:t>
      </w:r>
      <w:r>
        <w:rPr>
          <w:rFonts w:ascii="宋体" w:hAnsi="宋体" w:hint="eastAsia"/>
          <w:b/>
        </w:rPr>
        <w:t>）有更新，投标人必须重新下载招标文件、重新制作投标文件、重新加密投标文件、重新上传投标文件；如果供下载的招标文件（后缀名为.</w:t>
      </w:r>
      <w:r>
        <w:rPr>
          <w:rFonts w:ascii="宋体" w:hAnsi="宋体"/>
          <w:b/>
        </w:rPr>
        <w:t>szczf</w:t>
      </w:r>
      <w:r>
        <w:rPr>
          <w:rFonts w:ascii="宋体" w:hAnsi="宋体" w:hint="eastAsia"/>
          <w:b/>
        </w:rPr>
        <w:t>）没有更新，投标人必须重新加密投标文件、重新上传投标文件（是否重新制作投标文件根据项目实际情</w:t>
      </w:r>
      <w:r>
        <w:rPr>
          <w:rFonts w:ascii="宋体" w:eastAsia="宋体" w:hAnsi="宋体" w:hint="eastAsia"/>
          <w:b/>
          <w:lang w:eastAsia="zh-CN"/>
        </w:rPr>
        <w:t>况确</w:t>
      </w:r>
      <w:r>
        <w:rPr>
          <w:rFonts w:ascii="宋体" w:hAnsi="宋体" w:hint="eastAsia"/>
          <w:b/>
        </w:rPr>
        <w:t>定）。否则，投标人自行承担投标文件无法解密导致投标无效的后果。</w:t>
      </w:r>
    </w:p>
    <w:p>
      <w:pPr>
        <w:rPr>
          <w:rFonts w:ascii="黑体" w:eastAsia="黑体" w:hAnsi="宋体"/>
        </w:rPr>
      </w:pPr>
      <w:r>
        <w:rPr>
          <w:rFonts w:ascii="黑体" w:eastAsia="黑体" w:hAnsi="宋体" w:hint="eastAsia"/>
        </w:rPr>
        <w:t>25．上传投标文件及投标截止日期</w:t>
      </w:r>
    </w:p>
    <w:p>
      <w:pPr>
        <w:ind w:firstLine="470" w:firstLineChars="196"/>
        <w:rPr>
          <w:rFonts w:ascii="宋体" w:hAnsi="宋体"/>
        </w:rPr>
      </w:pPr>
      <w:r>
        <w:rPr>
          <w:rFonts w:ascii="宋体" w:hAnsi="宋体" w:hint="eastAsia"/>
        </w:rPr>
        <w:t>25</w:t>
      </w:r>
      <w:r>
        <w:rPr>
          <w:rFonts w:ascii="宋体" w:hAnsi="宋体"/>
        </w:rPr>
        <w:t>.</w:t>
      </w:r>
      <w:r>
        <w:rPr>
          <w:rFonts w:ascii="宋体" w:hAnsi="宋体" w:hint="eastAsia"/>
        </w:rPr>
        <w:t>1实行网上投标，</w:t>
      </w:r>
      <w:r>
        <w:rPr>
          <w:rFonts w:ascii="宋体" w:hAnsi="宋体"/>
        </w:rPr>
        <w:t>投标人必须</w:t>
      </w:r>
      <w:r>
        <w:rPr>
          <w:rFonts w:ascii="宋体" w:hAnsi="宋体" w:hint="eastAsia"/>
        </w:rPr>
        <w:t>在招标</w:t>
      </w:r>
      <w:r>
        <w:rPr>
          <w:rFonts w:ascii="宋体" w:hAnsi="宋体"/>
        </w:rPr>
        <w:t>文件规定的投标截止时间前</w:t>
      </w:r>
      <w:r>
        <w:rPr>
          <w:rFonts w:ascii="宋体" w:hAnsi="宋体" w:hint="eastAsia"/>
        </w:rPr>
        <w:t>用电子密钥登录“深圳政府采购智慧平台用户网上办事子系统（http://zfcg.szggzy.com/TPBidder/memberLogin）”，用“【我的项目】→【项目流程】→【递交投标</w:t>
      </w:r>
      <w:r>
        <w:rPr>
          <w:rFonts w:ascii="宋体" w:eastAsia="宋体" w:hAnsi="宋体" w:hint="eastAsia"/>
          <w:lang w:eastAsia="zh-CN"/>
        </w:rPr>
        <w:t>（</w:t>
      </w:r>
      <w:r>
        <w:rPr>
          <w:rFonts w:ascii="宋体" w:hAnsi="宋体" w:hint="eastAsia"/>
        </w:rPr>
        <w:t>应答</w:t>
      </w:r>
      <w:r>
        <w:rPr>
          <w:rFonts w:ascii="宋体" w:eastAsia="宋体" w:hAnsi="宋体" w:hint="eastAsia"/>
          <w:lang w:eastAsia="zh-CN"/>
        </w:rPr>
        <w:t>）</w:t>
      </w:r>
      <w:r>
        <w:rPr>
          <w:rFonts w:ascii="宋体" w:hAnsi="宋体" w:hint="eastAsia"/>
        </w:rPr>
        <w:t>文件】”功能点上传投标文件。如果确有困难，多次上传均告失败，请在投标截止时间之前携带加密后的电子投标文件</w:t>
      </w:r>
      <w:r>
        <w:rPr>
          <w:rFonts w:ascii="宋体" w:eastAsia="宋体" w:hAnsi="宋体" w:hint="eastAsia"/>
          <w:lang w:eastAsia="zh-CN"/>
        </w:rPr>
        <w:t>送达</w:t>
      </w:r>
      <w:r>
        <w:rPr>
          <w:rFonts w:ascii="宋体" w:hAnsi="宋体" w:hint="eastAsia"/>
        </w:rPr>
        <w:t>政府集中采购机构501政府采购技术支持服务室</w:t>
      </w:r>
      <w:r>
        <w:rPr>
          <w:rFonts w:ascii="宋体" w:hAnsi="宋体" w:hint="eastAsia"/>
          <w:b/>
          <w:bCs/>
          <w:szCs w:val="21"/>
        </w:rPr>
        <w:t>。</w:t>
      </w:r>
    </w:p>
    <w:p>
      <w:pPr>
        <w:ind w:firstLine="470" w:firstLineChars="196"/>
        <w:rPr>
          <w:rFonts w:ascii="宋体" w:hAnsi="宋体"/>
        </w:rPr>
      </w:pPr>
      <w:r>
        <w:rPr>
          <w:rFonts w:ascii="宋体" w:hAnsi="宋体" w:hint="eastAsia"/>
        </w:rPr>
        <w:t>25.2采购代理机构可以按本通用条款第13条规定，通过修改招标文件自行决定酌情延长投标截止期。在此情况下，采购代理机构、采购人和投标人受投标截止期制约的所有权利和义务均应延长至新的截止期。</w:t>
      </w:r>
    </w:p>
    <w:p>
      <w:pPr>
        <w:ind w:firstLine="470" w:firstLineChars="196"/>
        <w:rPr>
          <w:rFonts w:ascii="宋体" w:hAnsi="宋体"/>
        </w:rPr>
      </w:pPr>
      <w:r>
        <w:rPr>
          <w:rFonts w:ascii="宋体" w:hAnsi="宋体" w:hint="eastAsia"/>
        </w:rPr>
        <w:t>25</w:t>
      </w:r>
      <w:r>
        <w:rPr>
          <w:rFonts w:ascii="宋体" w:hAnsi="宋体"/>
        </w:rPr>
        <w:t>.</w:t>
      </w:r>
      <w:r>
        <w:rPr>
          <w:rFonts w:ascii="宋体" w:hAnsi="宋体" w:hint="eastAsia"/>
        </w:rPr>
        <w:t>3投标截止时间以后不得上传投标文件。</w:t>
      </w:r>
    </w:p>
    <w:p>
      <w:pPr>
        <w:ind w:firstLine="470" w:firstLineChars="196"/>
        <w:rPr>
          <w:rFonts w:ascii="宋体" w:hAnsi="宋体"/>
        </w:rPr>
      </w:pPr>
      <w:r>
        <w:rPr>
          <w:rFonts w:ascii="宋体" w:hAnsi="宋体" w:hint="eastAsia"/>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pPr>
        <w:rPr>
          <w:rFonts w:ascii="黑体" w:eastAsia="黑体" w:hAnsi="宋体"/>
        </w:rPr>
      </w:pPr>
      <w:bookmarkEnd w:id="96"/>
      <w:r>
        <w:rPr>
          <w:rFonts w:ascii="黑体" w:eastAsia="黑体" w:hAnsi="宋体" w:hint="eastAsia"/>
        </w:rPr>
        <w:t>26. 样品、现场演示、方案讲解</w:t>
      </w:r>
    </w:p>
    <w:p>
      <w:pPr>
        <w:ind w:firstLine="470" w:firstLineChars="196"/>
        <w:rPr>
          <w:rFonts w:ascii="宋体" w:hAnsi="宋体"/>
          <w:szCs w:val="21"/>
        </w:rPr>
      </w:pPr>
      <w:r>
        <w:rPr>
          <w:rFonts w:ascii="宋体" w:hAnsi="宋体" w:hint="eastAsia"/>
          <w:szCs w:val="21"/>
        </w:rPr>
        <w:t>26.1 样品、现场演示、方案讲解等事项在招标文件专用条款中进行规定。</w:t>
      </w:r>
    </w:p>
    <w:p>
      <w:pPr>
        <w:rPr>
          <w:rFonts w:ascii="黑体" w:eastAsia="黑体" w:hAnsi="宋体"/>
        </w:rPr>
      </w:pPr>
      <w:bookmarkStart w:id="97" w:name="_Hlk72428346"/>
      <w:r>
        <w:rPr>
          <w:rFonts w:ascii="黑体" w:eastAsia="黑体" w:hAnsi="宋体"/>
        </w:rPr>
        <w:t>2</w:t>
      </w:r>
      <w:r>
        <w:rPr>
          <w:rFonts w:ascii="黑体" w:eastAsia="黑体" w:hAnsi="宋体" w:hint="eastAsia"/>
        </w:rPr>
        <w:t>7．</w:t>
      </w:r>
      <w:r>
        <w:rPr>
          <w:rFonts w:ascii="黑体" w:eastAsia="黑体" w:hAnsi="宋体"/>
        </w:rPr>
        <w:t>投标文件的修改和撤销</w:t>
      </w:r>
    </w:p>
    <w:p>
      <w:pPr>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1</w:t>
      </w:r>
      <w:r>
        <w:rPr>
          <w:rFonts w:ascii="宋体" w:hAnsi="宋体"/>
        </w:rPr>
        <w:t>投标方在提交投标文件后可对其投标文件进行修改</w:t>
      </w:r>
      <w:r>
        <w:rPr>
          <w:rFonts w:ascii="宋体" w:hAnsi="宋体" w:hint="eastAsia"/>
        </w:rPr>
        <w:t>并重新上传投标文件</w:t>
      </w:r>
      <w:r>
        <w:rPr>
          <w:rFonts w:ascii="宋体" w:hAnsi="宋体"/>
        </w:rPr>
        <w:t>或</w:t>
      </w:r>
      <w:r>
        <w:rPr>
          <w:rFonts w:ascii="宋体" w:hAnsi="宋体" w:hint="eastAsia"/>
        </w:rPr>
        <w:t>在网上进行</w:t>
      </w:r>
      <w:r>
        <w:rPr>
          <w:rFonts w:ascii="宋体" w:hAnsi="宋体"/>
        </w:rPr>
        <w:t>撤销</w:t>
      </w:r>
      <w:r>
        <w:rPr>
          <w:rFonts w:ascii="宋体" w:hAnsi="宋体" w:hint="eastAsia"/>
        </w:rPr>
        <w:t>投标的操作</w:t>
      </w:r>
      <w:r>
        <w:rPr>
          <w:rFonts w:ascii="宋体" w:hAnsi="宋体"/>
        </w:rPr>
        <w:t>。</w:t>
      </w:r>
    </w:p>
    <w:p>
      <w:pPr>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2</w:t>
      </w:r>
      <w:r>
        <w:rPr>
          <w:rFonts w:ascii="宋体" w:hAnsi="宋体"/>
        </w:rPr>
        <w:t>投标截止时间以后不得修改投标文件。</w:t>
      </w:r>
    </w:p>
    <w:p>
      <w:pPr>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3从投标截止期至投标人在投标文件中确定的投标有效期之间的这段时间内，投标人不得撤回其投标。</w:t>
      </w:r>
    </w:p>
    <w:p>
      <w:pPr>
        <w:ind w:firstLine="470" w:firstLineChars="196"/>
        <w:rPr>
          <w:rFonts w:ascii="宋体" w:hAnsi="宋体"/>
          <w:szCs w:val="21"/>
        </w:rPr>
      </w:pPr>
      <w:r>
        <w:rPr>
          <w:rFonts w:ascii="宋体" w:hAnsi="宋体" w:hint="eastAsia"/>
          <w:szCs w:val="21"/>
        </w:rPr>
        <w:t>27.4采购代理机构不退还投标文件，专用条款另有规定的除外。</w:t>
      </w:r>
    </w:p>
    <w:p>
      <w:pPr>
        <w:pStyle w:val="Heading2"/>
        <w:numPr>
          <w:ilvl w:val="0"/>
          <w:numId w:val="4"/>
        </w:numPr>
        <w:spacing w:before="120" w:beforeLines="50" w:after="120" w:afterLines="50"/>
        <w:ind w:left="562" w:hanging="562"/>
        <w:rPr>
          <w:sz w:val="28"/>
          <w:szCs w:val="28"/>
        </w:rPr>
      </w:pPr>
      <w:bookmarkEnd w:id="97"/>
      <w:r>
        <w:rPr>
          <w:rFonts w:hint="eastAsia"/>
          <w:sz w:val="28"/>
          <w:szCs w:val="28"/>
        </w:rPr>
        <w:t>开标</w:t>
      </w:r>
    </w:p>
    <w:p>
      <w:pPr>
        <w:rPr>
          <w:rFonts w:ascii="黑体" w:eastAsia="黑体" w:hAnsi="宋体"/>
        </w:rPr>
      </w:pPr>
      <w:r>
        <w:rPr>
          <w:rFonts w:ascii="黑体" w:eastAsia="黑体" w:hAnsi="宋体" w:hint="eastAsia"/>
        </w:rPr>
        <w:t>28．开标</w:t>
      </w:r>
    </w:p>
    <w:p>
      <w:pPr>
        <w:ind w:firstLine="480" w:firstLineChars="200"/>
        <w:rPr>
          <w:rFonts w:ascii="宋体" w:hAnsi="宋体"/>
        </w:rPr>
      </w:pPr>
      <w:r>
        <w:rPr>
          <w:rFonts w:ascii="宋体" w:hAnsi="宋体"/>
          <w:szCs w:val="21"/>
        </w:rPr>
        <w:t>2</w:t>
      </w:r>
      <w:r>
        <w:rPr>
          <w:rFonts w:ascii="宋体" w:hAnsi="宋体" w:hint="eastAsia"/>
          <w:szCs w:val="21"/>
        </w:rPr>
        <w:t>8</w:t>
      </w:r>
      <w:r>
        <w:rPr>
          <w:rFonts w:ascii="宋体" w:hAnsi="宋体"/>
          <w:szCs w:val="21"/>
        </w:rPr>
        <w:t>.</w:t>
      </w:r>
      <w:r>
        <w:rPr>
          <w:rFonts w:ascii="宋体" w:hAnsi="宋体" w:hint="eastAsia"/>
          <w:szCs w:val="21"/>
        </w:rPr>
        <w:t>1</w:t>
      </w:r>
      <w:r>
        <w:rPr>
          <w:rFonts w:ascii="宋体" w:hAnsi="宋体" w:hint="eastAsia"/>
        </w:rPr>
        <w:t>投标人须在开标当日的开标时间至解密截止时间内进行解密，逾期未解密的作无效处理。解密方法：登录“深圳政府采购智慧平台用户网上办事子系统（</w:t>
      </w:r>
      <w:r>
        <w:rPr>
          <w:rFonts w:ascii="宋体" w:hAnsi="宋体"/>
        </w:rPr>
        <w:t>http://zfcg.szggzy.com/</w:t>
      </w:r>
      <w:r>
        <w:rPr>
          <w:rFonts w:ascii="宋体" w:hAnsi="宋体" w:hint="eastAsia"/>
        </w:rPr>
        <w:t>TPBidder/memberLogin）”，使用本单位制作电子投标文件同一个电子密钥，在“【我的项目】→【项目流程】→【开标及解密】”进行在线解密、查询开标情况。</w:t>
      </w:r>
    </w:p>
    <w:p>
      <w:pPr>
        <w:ind w:firstLine="410" w:firstLineChars="171"/>
        <w:rPr>
          <w:rFonts w:ascii="宋体" w:hAnsi="宋体"/>
          <w:szCs w:val="21"/>
        </w:rPr>
      </w:pPr>
      <w:r>
        <w:rPr>
          <w:rFonts w:ascii="宋体" w:hAnsi="宋体" w:hint="eastAsia"/>
          <w:szCs w:val="21"/>
        </w:rPr>
        <w:t>2</w:t>
      </w:r>
      <w:r>
        <w:rPr>
          <w:rFonts w:ascii="宋体" w:hAnsi="宋体"/>
          <w:szCs w:val="21"/>
        </w:rPr>
        <w:t xml:space="preserve">8.2 </w:t>
      </w:r>
      <w:r>
        <w:rPr>
          <w:rFonts w:ascii="宋体" w:hAnsi="宋体" w:hint="eastAsia"/>
          <w:szCs w:val="21"/>
        </w:rPr>
        <w:t>采购代理机构将在满足开标条件（</w:t>
      </w:r>
      <w:r>
        <w:rPr>
          <w:rFonts w:ascii="宋体" w:hAnsi="宋体" w:cs="宋体" w:hint="eastAsia"/>
          <w:color w:val="333333"/>
          <w:sz w:val="20"/>
          <w:szCs w:val="20"/>
          <w:shd w:val="clear" w:color="auto" w:fill="FFFFFF"/>
        </w:rPr>
        <w:t>①</w:t>
      </w:r>
      <w:r>
        <w:rPr>
          <w:rFonts w:ascii="宋体" w:hAnsi="宋体" w:hint="eastAsia"/>
          <w:szCs w:val="21"/>
        </w:rPr>
        <w:t>解密时间结束，解密后的投标供应商数量满足开标要求或</w:t>
      </w:r>
      <w:r>
        <w:rPr>
          <w:rFonts w:ascii="宋体" w:hAnsi="宋体" w:cs="宋体" w:hint="eastAsia"/>
          <w:color w:val="333333"/>
          <w:sz w:val="20"/>
          <w:szCs w:val="20"/>
          <w:shd w:val="clear" w:color="auto" w:fill="FFFFFF"/>
        </w:rPr>
        <w:t>②</w:t>
      </w:r>
      <w:r>
        <w:rPr>
          <w:rFonts w:ascii="宋体" w:hAnsi="宋体" w:hint="eastAsia"/>
          <w:szCs w:val="21"/>
        </w:rPr>
        <w:t>解密时间结束前所有投标供应商均完成投标文件解密）后，对投标文件进行开标，并在网上公布开标结果。</w:t>
      </w:r>
    </w:p>
    <w:p>
      <w:pPr>
        <w:pStyle w:val="Heading2"/>
        <w:numPr>
          <w:ilvl w:val="0"/>
          <w:numId w:val="4"/>
        </w:numPr>
        <w:spacing w:before="120" w:beforeLines="50" w:after="120" w:afterLines="50"/>
        <w:ind w:left="562" w:hanging="562"/>
        <w:rPr>
          <w:sz w:val="28"/>
          <w:szCs w:val="28"/>
        </w:rPr>
      </w:pPr>
      <w:r>
        <w:rPr>
          <w:rFonts w:hint="eastAsia"/>
          <w:sz w:val="28"/>
          <w:szCs w:val="28"/>
        </w:rPr>
        <w:t>评审要求</w:t>
      </w:r>
    </w:p>
    <w:p>
      <w:pPr>
        <w:rPr>
          <w:rFonts w:ascii="黑体" w:eastAsia="黑体" w:hAnsi="宋体"/>
        </w:rPr>
      </w:pPr>
      <w:r>
        <w:rPr>
          <w:rFonts w:ascii="黑体" w:eastAsia="黑体" w:hAnsi="宋体" w:hint="eastAsia"/>
        </w:rPr>
        <w:t>29．评审委员会组成</w:t>
      </w:r>
    </w:p>
    <w:p>
      <w:pPr>
        <w:ind w:firstLine="470" w:firstLineChars="196"/>
        <w:rPr>
          <w:rFonts w:ascii="宋体" w:hAnsi="宋体"/>
        </w:rPr>
      </w:pPr>
      <w:r>
        <w:rPr>
          <w:rFonts w:ascii="宋体" w:hAnsi="宋体" w:hint="eastAsia"/>
        </w:rPr>
        <w:t>29.1网上开标结束后召开评审会议，</w:t>
      </w:r>
      <w:r>
        <w:rPr>
          <w:rFonts w:ascii="宋体" w:hAnsi="宋体" w:hint="eastAsia"/>
          <w:szCs w:val="21"/>
        </w:rPr>
        <w:t>评审委员会</w:t>
      </w:r>
      <w:r>
        <w:rPr>
          <w:rFonts w:ascii="宋体" w:hAnsi="宋体" w:hint="eastAsia"/>
        </w:rPr>
        <w:t>由采购代理机构依法组建，负责评审活动。</w:t>
      </w:r>
    </w:p>
    <w:p>
      <w:pPr>
        <w:ind w:firstLine="470" w:firstLineChars="196"/>
        <w:rPr>
          <w:rFonts w:ascii="宋体" w:hAnsi="宋体"/>
        </w:rPr>
      </w:pPr>
      <w:bookmarkStart w:id="98" w:name="_Hlk72436580"/>
      <w:r>
        <w:rPr>
          <w:rFonts w:ascii="宋体" w:hAnsi="宋体" w:hint="eastAsia"/>
        </w:rPr>
        <w:t>评审委员会由采购人代表和评审专家组成，成员人数应当为5人以上单数（部分条件下为7人以上单数），其中评审专家不得少于成员总数的三分之二。</w:t>
      </w:r>
      <w:bookmarkEnd w:id="98"/>
      <w:r>
        <w:rPr>
          <w:rFonts w:ascii="宋体" w:hAnsi="宋体" w:hint="eastAsia"/>
        </w:rPr>
        <w:t>评定</w:t>
      </w:r>
      <w:r>
        <w:rPr>
          <w:rFonts w:hint="eastAsia"/>
        </w:rPr>
        <w:t>分离项目</w:t>
      </w:r>
      <w:r>
        <w:t>评审专家</w:t>
      </w:r>
      <w:r>
        <w:rPr>
          <w:rFonts w:hint="eastAsia"/>
        </w:rPr>
        <w:t>均</w:t>
      </w:r>
      <w:r>
        <w:t>由</w:t>
      </w:r>
      <w:r>
        <w:rPr>
          <w:rFonts w:hint="eastAsia"/>
        </w:rPr>
        <w:t>评审专家组成。</w:t>
      </w:r>
      <w:r>
        <w:rPr>
          <w:rFonts w:ascii="宋体" w:hAnsi="宋体" w:hint="eastAsia"/>
          <w:szCs w:val="21"/>
        </w:rPr>
        <w:t>评审专家一般是</w:t>
      </w:r>
      <w:r>
        <w:rPr>
          <w:rFonts w:ascii="宋体" w:hAnsi="宋体" w:hint="eastAsia"/>
        </w:rPr>
        <w:t>从深圳市政府采购评审专家库中随机抽取。采购人代表须持本单位签发的《评审授权书》参加评审。</w:t>
      </w:r>
    </w:p>
    <w:p>
      <w:pPr>
        <w:ind w:firstLine="470" w:firstLineChars="196"/>
        <w:rPr>
          <w:rFonts w:ascii="宋体" w:hAnsi="宋体"/>
        </w:rPr>
      </w:pPr>
      <w:r>
        <w:rPr>
          <w:rFonts w:ascii="宋体" w:hAnsi="宋体" w:hint="eastAsia"/>
        </w:rPr>
        <w:t>29.2评审定标应当遵循公平、公正、科学、择优的原则。</w:t>
      </w:r>
    </w:p>
    <w:p>
      <w:pPr>
        <w:ind w:firstLine="470" w:firstLineChars="196"/>
        <w:rPr>
          <w:rFonts w:ascii="宋体" w:hAnsi="宋体"/>
        </w:rPr>
      </w:pPr>
      <w:r>
        <w:rPr>
          <w:rFonts w:ascii="宋体" w:hAnsi="宋体" w:hint="eastAsia"/>
        </w:rPr>
        <w:t>29.3评审活动依法进行，任何单位和个人不得非法干预评标过程和结果。</w:t>
      </w:r>
    </w:p>
    <w:p>
      <w:pPr>
        <w:ind w:firstLine="470" w:firstLineChars="196"/>
        <w:rPr>
          <w:rFonts w:ascii="宋体" w:hAnsi="宋体"/>
        </w:rPr>
      </w:pPr>
      <w:r>
        <w:rPr>
          <w:rFonts w:ascii="宋体" w:hAnsi="宋体" w:hint="eastAsia"/>
        </w:rPr>
        <w:t>29.4评审过程中不允许违背评标程序或采用招标文件未载明的评标方法或评标因素进行评标。</w:t>
      </w:r>
    </w:p>
    <w:p>
      <w:pPr>
        <w:ind w:firstLine="470" w:firstLineChars="196"/>
        <w:rPr>
          <w:rFonts w:ascii="宋体" w:hAnsi="宋体"/>
          <w:bCs/>
        </w:rPr>
      </w:pPr>
      <w:r>
        <w:rPr>
          <w:rFonts w:ascii="宋体" w:hAnsi="宋体" w:hint="eastAsia"/>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ascii="宋体" w:hAnsi="宋体" w:hint="eastAsia"/>
          <w:bCs/>
        </w:rPr>
        <w:t>）。</w:t>
      </w:r>
    </w:p>
    <w:p>
      <w:pPr>
        <w:rPr>
          <w:rFonts w:ascii="黑体" w:eastAsia="黑体" w:hAnsi="宋体"/>
        </w:rPr>
      </w:pPr>
      <w:r>
        <w:rPr>
          <w:rFonts w:ascii="黑体" w:eastAsia="黑体" w:hAnsi="宋体" w:hint="eastAsia"/>
        </w:rPr>
        <w:t>30．向评审委员会提供的资料</w:t>
      </w:r>
    </w:p>
    <w:p>
      <w:pPr>
        <w:ind w:firstLine="470" w:firstLineChars="196"/>
        <w:rPr>
          <w:rFonts w:ascii="宋体" w:hAnsi="宋体"/>
        </w:rPr>
      </w:pPr>
      <w:r>
        <w:rPr>
          <w:rFonts w:ascii="宋体" w:hAnsi="宋体" w:hint="eastAsia"/>
        </w:rPr>
        <w:t>30.1公开发布的招标文件，包括图纸、服务清单、答疑文件等；</w:t>
      </w:r>
    </w:p>
    <w:p>
      <w:pPr>
        <w:ind w:firstLine="470" w:firstLineChars="196"/>
        <w:rPr>
          <w:rFonts w:ascii="宋体" w:hAnsi="宋体"/>
        </w:rPr>
      </w:pPr>
      <w:r>
        <w:rPr>
          <w:rFonts w:ascii="宋体" w:hAnsi="宋体" w:hint="eastAsia"/>
        </w:rPr>
        <w:t>30.2其他评标</w:t>
      </w:r>
      <w:r>
        <w:rPr>
          <w:rFonts w:ascii="宋体" w:eastAsia="宋体" w:hAnsi="宋体" w:hint="eastAsia"/>
          <w:lang w:eastAsia="zh-CN"/>
        </w:rPr>
        <w:t>必需的资料</w:t>
      </w:r>
      <w:r>
        <w:rPr>
          <w:rFonts w:ascii="宋体" w:hAnsi="宋体" w:hint="eastAsia"/>
        </w:rPr>
        <w:t>。</w:t>
      </w:r>
    </w:p>
    <w:p>
      <w:pPr>
        <w:ind w:firstLine="470" w:firstLineChars="196"/>
        <w:rPr>
          <w:rFonts w:ascii="宋体" w:hAnsi="宋体"/>
        </w:rPr>
      </w:pPr>
      <w:r>
        <w:rPr>
          <w:rFonts w:ascii="宋体" w:hAnsi="宋体" w:hint="eastAsia"/>
        </w:rPr>
        <w:t>30.3</w:t>
      </w:r>
      <w:r>
        <w:rPr>
          <w:rFonts w:ascii="宋体" w:hAnsi="宋体" w:hint="eastAsia"/>
          <w:szCs w:val="21"/>
        </w:rPr>
        <w:t>评审委员会</w:t>
      </w:r>
      <w:r>
        <w:rPr>
          <w:rFonts w:ascii="宋体" w:hAnsi="宋体" w:hint="eastAsia"/>
        </w:rPr>
        <w:t>应当认真研究招标文件，至少应了解熟悉以下内容：</w:t>
      </w:r>
    </w:p>
    <w:p>
      <w:pPr>
        <w:ind w:firstLine="470" w:firstLineChars="196"/>
        <w:rPr>
          <w:rFonts w:ascii="宋体" w:hAnsi="宋体"/>
        </w:rPr>
      </w:pPr>
      <w:r>
        <w:rPr>
          <w:rFonts w:ascii="宋体" w:hAnsi="宋体" w:hint="eastAsia"/>
        </w:rPr>
        <w:t>（1）招标的目的；</w:t>
      </w:r>
    </w:p>
    <w:p>
      <w:pPr>
        <w:ind w:firstLine="470" w:firstLineChars="196"/>
        <w:rPr>
          <w:rFonts w:ascii="宋体" w:hAnsi="宋体"/>
        </w:rPr>
      </w:pPr>
      <w:r>
        <w:rPr>
          <w:rFonts w:ascii="宋体" w:hAnsi="宋体" w:hint="eastAsia"/>
        </w:rPr>
        <w:t>（2）招标项目需求的范围和性质；</w:t>
      </w:r>
    </w:p>
    <w:p>
      <w:pPr>
        <w:ind w:firstLine="470" w:firstLineChars="196"/>
        <w:rPr>
          <w:rFonts w:ascii="宋体" w:hAnsi="宋体"/>
        </w:rPr>
      </w:pPr>
      <w:r>
        <w:rPr>
          <w:rFonts w:ascii="宋体" w:hAnsi="宋体" w:hint="eastAsia"/>
        </w:rPr>
        <w:t>（3）招标文件规定的投标人的资格、财政预算限额、商务条款；</w:t>
      </w:r>
    </w:p>
    <w:p>
      <w:pPr>
        <w:ind w:firstLine="470" w:firstLineChars="196"/>
        <w:rPr>
          <w:rFonts w:ascii="宋体" w:hAnsi="宋体"/>
        </w:rPr>
      </w:pPr>
      <w:r>
        <w:rPr>
          <w:rFonts w:ascii="宋体" w:hAnsi="宋体" w:hint="eastAsia"/>
        </w:rPr>
        <w:t>（4）招标文件规定的评标程序、评标方法和评标因素；</w:t>
      </w:r>
    </w:p>
    <w:p>
      <w:pPr>
        <w:ind w:firstLine="470" w:firstLineChars="196"/>
        <w:rPr>
          <w:rFonts w:ascii="宋体" w:hAnsi="宋体"/>
        </w:rPr>
      </w:pPr>
      <w:r>
        <w:rPr>
          <w:rFonts w:ascii="宋体" w:hAnsi="宋体" w:hint="eastAsia"/>
        </w:rPr>
        <w:t>（5）招标文件所列示的资格性审查表及符合性审查表。</w:t>
      </w:r>
    </w:p>
    <w:p>
      <w:pPr>
        <w:rPr>
          <w:rFonts w:ascii="黑体" w:eastAsia="黑体" w:hAnsi="宋体"/>
        </w:rPr>
      </w:pPr>
      <w:r>
        <w:rPr>
          <w:rFonts w:ascii="黑体" w:eastAsia="黑体" w:hAnsi="宋体" w:hint="eastAsia"/>
        </w:rPr>
        <w:t>31．独立评审</w:t>
      </w:r>
    </w:p>
    <w:p>
      <w:pPr>
        <w:ind w:firstLine="470" w:firstLineChars="196"/>
        <w:rPr>
          <w:rFonts w:ascii="宋体" w:hAnsi="宋体"/>
          <w:bCs/>
        </w:rPr>
      </w:pPr>
      <w:r>
        <w:rPr>
          <w:rFonts w:ascii="宋体" w:hAnsi="宋体" w:hint="eastAsia"/>
          <w:bCs/>
        </w:rPr>
        <w:t>3</w:t>
      </w:r>
      <w:r>
        <w:rPr>
          <w:rFonts w:ascii="宋体" w:hAnsi="宋体"/>
          <w:bCs/>
        </w:rPr>
        <w:t>1</w:t>
      </w:r>
      <w:r>
        <w:rPr>
          <w:rFonts w:ascii="宋体" w:hAnsi="宋体" w:hint="eastAsia"/>
          <w:bCs/>
        </w:rPr>
        <w:t>.1</w:t>
      </w:r>
      <w:r>
        <w:rPr>
          <w:rFonts w:ascii="宋体" w:hAnsi="宋体" w:hint="eastAsia"/>
          <w:szCs w:val="21"/>
        </w:rPr>
        <w:t>评审委员会</w:t>
      </w:r>
      <w:r>
        <w:rPr>
          <w:rFonts w:ascii="宋体" w:hAnsi="宋体" w:hint="eastAsia"/>
          <w:bCs/>
        </w:rPr>
        <w:t>成员的评标活动应当独立进行，并应遵循投标文件初审、澄清有关问题、比较与评价、确定中标供应商、编写评审报告的工作程序。</w:t>
      </w:r>
    </w:p>
    <w:p>
      <w:pPr>
        <w:pStyle w:val="Heading2"/>
        <w:numPr>
          <w:ilvl w:val="0"/>
          <w:numId w:val="4"/>
        </w:numPr>
        <w:spacing w:before="120" w:beforeLines="50" w:after="120" w:afterLines="50"/>
        <w:ind w:left="562" w:hanging="562"/>
        <w:rPr>
          <w:sz w:val="28"/>
          <w:szCs w:val="28"/>
        </w:rPr>
      </w:pPr>
      <w:r>
        <w:rPr>
          <w:rFonts w:hint="eastAsia"/>
          <w:sz w:val="28"/>
          <w:szCs w:val="28"/>
        </w:rPr>
        <w:t>评审程序及评审方法</w:t>
      </w:r>
    </w:p>
    <w:p>
      <w:pPr>
        <w:rPr>
          <w:rFonts w:ascii="黑体" w:eastAsia="黑体" w:hAnsi="宋体"/>
        </w:rPr>
      </w:pPr>
      <w:r>
        <w:rPr>
          <w:rFonts w:ascii="黑体" w:eastAsia="黑体" w:hAnsi="宋体" w:hint="eastAsia"/>
        </w:rPr>
        <w:t>32．投标文件初审</w:t>
      </w:r>
    </w:p>
    <w:p>
      <w:pPr>
        <w:ind w:firstLine="470" w:firstLineChars="196"/>
        <w:rPr>
          <w:rFonts w:ascii="宋体" w:hAnsi="宋体"/>
        </w:rPr>
      </w:pPr>
      <w:r>
        <w:rPr>
          <w:rFonts w:ascii="宋体" w:hAnsi="宋体" w:hint="eastAsia"/>
        </w:rPr>
        <w:t>32.1投标文件初审包括资格性审查和符合性审查。</w:t>
      </w:r>
    </w:p>
    <w:p>
      <w:pPr>
        <w:ind w:firstLine="470" w:firstLineChars="196"/>
        <w:rPr>
          <w:rFonts w:ascii="宋体" w:hAnsi="宋体"/>
        </w:rPr>
      </w:pPr>
      <w:r>
        <w:rPr>
          <w:rFonts w:ascii="宋体" w:hAnsi="宋体" w:hint="eastAsia"/>
        </w:rPr>
        <w:t>资格性审查：依据法律法规和招标文件的规定，对投标文件中的资格证明等进行审查，以确定投标供应商是否具备投标资格。</w:t>
      </w:r>
    </w:p>
    <w:p>
      <w:pPr>
        <w:ind w:firstLine="470" w:firstLineChars="196"/>
        <w:rPr>
          <w:rFonts w:ascii="宋体" w:hAnsi="宋体"/>
        </w:rPr>
      </w:pPr>
      <w:r>
        <w:rPr>
          <w:rFonts w:ascii="宋体" w:hAnsi="宋体" w:hint="eastAsia"/>
        </w:rPr>
        <w:t>符合性审查：依据招标文件的规定，对投标文件的有效性、完整性和对招标文件的响应程度进行审查，以确定是否满足符合性审查的要求。</w:t>
      </w:r>
    </w:p>
    <w:p>
      <w:pPr>
        <w:ind w:firstLine="470" w:firstLineChars="196"/>
        <w:rPr>
          <w:rFonts w:ascii="宋体" w:hAnsi="宋体"/>
        </w:rPr>
      </w:pPr>
      <w:r>
        <w:rPr>
          <w:rFonts w:ascii="宋体" w:hAnsi="宋体" w:hint="eastAsia"/>
        </w:rPr>
        <w:t>32.2 投标文件初审内容请详见《资格性审查表》和《符合性审查表》部分。投标人若有一条审查不通过则按投标无效处理。</w:t>
      </w:r>
    </w:p>
    <w:p>
      <w:pPr>
        <w:ind w:firstLine="470" w:firstLineChars="196"/>
        <w:rPr>
          <w:rFonts w:ascii="宋体" w:hAnsi="宋体"/>
          <w:bCs/>
        </w:rPr>
      </w:pPr>
      <w:r>
        <w:rPr>
          <w:rFonts w:ascii="宋体" w:hAnsi="宋体" w:hint="eastAsia"/>
          <w:bCs/>
        </w:rPr>
        <w:t>32.3 投标文件初审中关于供应商家数的计算</w:t>
      </w:r>
      <w:r>
        <w:rPr>
          <w:rFonts w:ascii="宋体" w:eastAsia="宋体" w:hAnsi="宋体" w:hint="eastAsia"/>
          <w:bCs/>
          <w:lang w:eastAsia="zh-CN"/>
        </w:rPr>
        <w:t>：</w:t>
      </w:r>
    </w:p>
    <w:p>
      <w:pPr>
        <w:ind w:firstLine="470" w:firstLineChars="196"/>
        <w:rPr>
          <w:rFonts w:ascii="宋体" w:hAnsi="宋体"/>
          <w:bCs/>
        </w:rPr>
      </w:pPr>
      <w:r>
        <w:rPr>
          <w:rFonts w:ascii="宋体" w:hAnsi="宋体" w:hint="eastAsia"/>
          <w:bCs/>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hAnsi="宋体"/>
          <w:bCs/>
        </w:rPr>
      </w:pPr>
      <w:r>
        <w:rPr>
          <w:rFonts w:ascii="宋体" w:hAnsi="宋体" w:hint="eastAsia"/>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Cs/>
          <w:szCs w:val="21"/>
        </w:rPr>
        <w:t>评审委员会</w:t>
      </w:r>
      <w:r>
        <w:rPr>
          <w:rFonts w:ascii="宋体" w:hAnsi="宋体" w:hint="eastAsia"/>
          <w:bCs/>
        </w:rPr>
        <w:t>按照招标文件规定的方式确定一个投标人获得中标人推荐资格，招标文件未规定的采取随机抽取方式确定，其他同品牌投标人不作为中标候选人。</w:t>
      </w:r>
    </w:p>
    <w:p>
      <w:pPr>
        <w:ind w:firstLine="470" w:firstLineChars="196"/>
        <w:rPr>
          <w:rFonts w:ascii="宋体" w:hAnsi="宋体"/>
          <w:bCs/>
        </w:rPr>
      </w:pPr>
      <w:r>
        <w:rPr>
          <w:rFonts w:ascii="宋体" w:hAnsi="宋体" w:hint="eastAsia"/>
          <w:bCs/>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hAnsi="宋体"/>
        </w:rPr>
      </w:pPr>
      <w:r>
        <w:rPr>
          <w:rFonts w:ascii="宋体" w:hAnsi="宋体" w:hint="eastAsia"/>
        </w:rPr>
        <w:t>32.4投标人投标文件作无效处理的情形，具体包括但不限于以下：</w:t>
      </w:r>
    </w:p>
    <w:p>
      <w:pPr>
        <w:ind w:firstLine="470" w:firstLineChars="196"/>
      </w:pPr>
      <w:r>
        <w:rPr>
          <w:rFonts w:ascii="宋体" w:hAnsi="宋体" w:hint="eastAsia"/>
        </w:rPr>
        <w:t>32.4.1</w:t>
      </w:r>
      <w:r>
        <w:rPr>
          <w:rFonts w:hint="eastAsia"/>
        </w:rPr>
        <w:t>不同投标人的投标文件由同一单位或者同一个人编制，或者由同一个人分阶段参与编制；</w:t>
      </w:r>
    </w:p>
    <w:p>
      <w:pPr>
        <w:ind w:firstLine="470" w:firstLineChars="196"/>
      </w:pPr>
      <w:r>
        <w:rPr>
          <w:rFonts w:ascii="宋体" w:hAnsi="宋体"/>
        </w:rPr>
        <w:t>32.4.</w:t>
      </w:r>
      <w:r>
        <w:rPr>
          <w:rFonts w:ascii="宋体" w:hAnsi="宋体" w:hint="eastAsia"/>
        </w:rPr>
        <w:t>2</w:t>
      </w:r>
      <w:r>
        <w:rPr>
          <w:rFonts w:hint="eastAsia"/>
        </w:rPr>
        <w:t>不同投标人委托同一单位或者个人办理投标事宜；</w:t>
      </w:r>
    </w:p>
    <w:p>
      <w:pPr>
        <w:ind w:firstLine="470" w:firstLineChars="196"/>
        <w:rPr>
          <w:rFonts w:ascii="宋体" w:hAnsi="宋体"/>
        </w:rPr>
      </w:pPr>
      <w:r>
        <w:rPr>
          <w:rFonts w:ascii="宋体" w:hAnsi="宋体" w:hint="eastAsia"/>
        </w:rPr>
        <w:t>32.4.3不同投标人的投标文件载明的项目管理成员或者联系人员为同一人；</w:t>
      </w:r>
    </w:p>
    <w:p>
      <w:pPr>
        <w:ind w:firstLine="470" w:firstLineChars="196"/>
        <w:rPr>
          <w:rFonts w:ascii="宋体" w:hAnsi="宋体"/>
        </w:rPr>
      </w:pPr>
      <w:r>
        <w:rPr>
          <w:rFonts w:ascii="宋体" w:hAnsi="宋体" w:hint="eastAsia"/>
        </w:rPr>
        <w:t>32.4.4不同投标人的投标文件异常一致或者投标报价呈规律性差异；</w:t>
      </w:r>
    </w:p>
    <w:p>
      <w:pPr>
        <w:ind w:firstLine="470" w:firstLineChars="196"/>
        <w:rPr>
          <w:rFonts w:ascii="宋体" w:hAnsi="宋体"/>
        </w:rPr>
      </w:pPr>
      <w:r>
        <w:rPr>
          <w:rFonts w:ascii="宋体" w:hAnsi="宋体" w:hint="eastAsia"/>
        </w:rPr>
        <w:t>32.4.5</w:t>
      </w:r>
      <w:r>
        <w:rPr>
          <w:rFonts w:ascii="宋体" w:hAnsi="宋体"/>
        </w:rPr>
        <w:t>不同投标供应商的投标文件或部分投标文件相互混装</w:t>
      </w:r>
      <w:r>
        <w:rPr>
          <w:rFonts w:ascii="宋体" w:hAnsi="宋体" w:hint="eastAsia"/>
        </w:rPr>
        <w:t>；</w:t>
      </w:r>
    </w:p>
    <w:p>
      <w:pPr>
        <w:ind w:firstLine="470" w:firstLineChars="196"/>
        <w:rPr>
          <w:rFonts w:ascii="宋体" w:hAnsi="宋体"/>
        </w:rPr>
      </w:pPr>
      <w:r>
        <w:rPr>
          <w:rFonts w:ascii="宋体" w:hAnsi="宋体" w:hint="eastAsia"/>
        </w:rPr>
        <w:t>32.4.6投标供应商之间相互约定给予未中标的供应商利益补偿；</w:t>
      </w:r>
    </w:p>
    <w:p>
      <w:pPr>
        <w:ind w:firstLine="470" w:firstLineChars="196"/>
        <w:rPr>
          <w:rFonts w:ascii="宋体" w:hAnsi="宋体"/>
        </w:rPr>
      </w:pPr>
      <w:r>
        <w:rPr>
          <w:rFonts w:ascii="宋体" w:hAnsi="宋体" w:hint="eastAsia"/>
        </w:rPr>
        <w:t>32.4.7不同投标供应商的法定代表人、主要经营负责人、项目投标授权代表人、项目负责人、主要技术人员为同一人、属同一单位或者同一单位缴纳社会保险；</w:t>
      </w:r>
    </w:p>
    <w:p>
      <w:pPr>
        <w:ind w:firstLine="470" w:firstLineChars="196"/>
        <w:rPr>
          <w:rFonts w:ascii="宋体" w:hAnsi="宋体"/>
        </w:rPr>
      </w:pPr>
      <w:r>
        <w:rPr>
          <w:rFonts w:ascii="宋体" w:hAnsi="宋体" w:hint="eastAsia"/>
        </w:rPr>
        <w:t>32.4.8不同投标供应商的投标文件内容存在非正常一致；</w:t>
      </w:r>
    </w:p>
    <w:p>
      <w:pPr>
        <w:ind w:firstLine="470" w:firstLineChars="196"/>
        <w:rPr>
          <w:rFonts w:ascii="宋体" w:hAnsi="宋体"/>
        </w:rPr>
      </w:pPr>
      <w:r>
        <w:rPr>
          <w:rFonts w:ascii="宋体" w:hAnsi="宋体" w:hint="eastAsia"/>
        </w:rPr>
        <w:t>32.4.9在同一单位工作人员为两家以上（含两家）供应商进行同一项投标活动；</w:t>
      </w:r>
    </w:p>
    <w:p>
      <w:pPr>
        <w:ind w:firstLine="470" w:firstLineChars="196"/>
        <w:rPr>
          <w:rFonts w:ascii="宋体" w:hAnsi="宋体"/>
        </w:rPr>
      </w:pPr>
      <w:r>
        <w:rPr>
          <w:rFonts w:ascii="宋体" w:hAnsi="宋体" w:hint="eastAsia"/>
        </w:rPr>
        <w:t>32.4.10主管部门依照</w:t>
      </w:r>
      <w:r>
        <w:rPr>
          <w:rFonts w:ascii="宋体" w:eastAsia="宋体" w:hAnsi="宋体" w:hint="eastAsia"/>
          <w:lang w:eastAsia="zh-CN"/>
        </w:rPr>
        <w:t>法律法规</w:t>
      </w:r>
      <w:r>
        <w:rPr>
          <w:rFonts w:ascii="宋体" w:hAnsi="宋体" w:hint="eastAsia"/>
        </w:rPr>
        <w:t>认定的其他情形。</w:t>
      </w:r>
    </w:p>
    <w:p>
      <w:pPr>
        <w:ind w:firstLine="470" w:firstLineChars="196"/>
        <w:rPr>
          <w:rFonts w:ascii="宋体" w:hAnsi="宋体"/>
        </w:rPr>
      </w:pPr>
      <w:r>
        <w:rPr>
          <w:rFonts w:ascii="宋体" w:hAnsi="宋体" w:hint="eastAsia"/>
        </w:rPr>
        <w:t>32.5对不属于《资格性审查表》和《符合性审查表》所列的其他情形，除专用条款另有规定和32.4条款所列情形外，不得作为投标无效的理由。</w:t>
      </w:r>
    </w:p>
    <w:p>
      <w:pPr>
        <w:rPr>
          <w:rFonts w:ascii="黑体" w:eastAsia="黑体" w:hAnsi="宋体"/>
        </w:rPr>
      </w:pPr>
      <w:r>
        <w:rPr>
          <w:rFonts w:ascii="黑体" w:eastAsia="黑体" w:hAnsi="宋体" w:hint="eastAsia"/>
        </w:rPr>
        <w:t>33．澄清有关问题</w:t>
      </w:r>
    </w:p>
    <w:p>
      <w:pPr>
        <w:ind w:firstLine="470" w:firstLineChars="196"/>
        <w:rPr>
          <w:rFonts w:ascii="宋体" w:hAnsi="宋体"/>
        </w:rPr>
      </w:pPr>
      <w:bookmarkStart w:id="99" w:name="_Hlk71407321"/>
      <w:r>
        <w:rPr>
          <w:rFonts w:ascii="宋体" w:hAnsi="宋体" w:hint="eastAsia"/>
        </w:rPr>
        <w:t>3</w:t>
      </w:r>
      <w:r>
        <w:rPr>
          <w:rFonts w:ascii="宋体" w:hAnsi="宋体"/>
        </w:rPr>
        <w:t>3.1</w:t>
      </w:r>
      <w:r>
        <w:rPr>
          <w:rFonts w:ascii="宋体" w:hAnsi="宋体" w:hint="eastAsia"/>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ascii="宋体" w:hAnsi="宋体" w:hint="eastAsia"/>
        </w:rPr>
        <w:t>，评审委员会有权进行评判，但对同一条款的评判应适用于每个投标人。</w:t>
      </w:r>
      <w:bookmarkEnd w:id="99"/>
    </w:p>
    <w:p>
      <w:pPr>
        <w:ind w:firstLine="470" w:firstLineChars="196"/>
        <w:rPr>
          <w:rFonts w:ascii="宋体" w:hAnsi="宋体"/>
        </w:rPr>
      </w:pPr>
      <w:r>
        <w:rPr>
          <w:rFonts w:ascii="宋体" w:hAnsi="宋体" w:hint="eastAsia"/>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hint="eastAsia"/>
          <w:szCs w:val="21"/>
        </w:rPr>
        <w:t>采购代理机构</w:t>
      </w:r>
      <w:r>
        <w:rPr>
          <w:szCs w:val="21"/>
        </w:rPr>
        <w:t>沟通并</w:t>
      </w:r>
      <w:r>
        <w:rPr>
          <w:rFonts w:eastAsia="宋体" w:hint="eastAsia"/>
          <w:szCs w:val="21"/>
          <w:lang w:eastAsia="zh-CN"/>
        </w:rPr>
        <w:t>做</w:t>
      </w:r>
      <w:r>
        <w:rPr>
          <w:szCs w:val="21"/>
        </w:rPr>
        <w:t>书面记录。</w:t>
      </w:r>
      <w:r>
        <w:rPr>
          <w:rFonts w:hint="eastAsia"/>
          <w:szCs w:val="21"/>
        </w:rPr>
        <w:t>经</w:t>
      </w:r>
      <w:r>
        <w:rPr>
          <w:szCs w:val="21"/>
        </w:rPr>
        <w:t>确认后，</w:t>
      </w:r>
      <w:r>
        <w:rPr>
          <w:rFonts w:hint="eastAsia"/>
          <w:szCs w:val="21"/>
        </w:rPr>
        <w:t>项目</w:t>
      </w:r>
      <w:r>
        <w:rPr>
          <w:szCs w:val="21"/>
        </w:rPr>
        <w:t>应当修改招标文件，重新组织采购活动。</w:t>
      </w:r>
    </w:p>
    <w:p>
      <w:pPr>
        <w:ind w:firstLine="470" w:firstLineChars="196"/>
        <w:rPr>
          <w:rFonts w:ascii="宋体" w:hAnsi="宋体"/>
        </w:rPr>
      </w:pPr>
      <w:r>
        <w:rPr>
          <w:rFonts w:ascii="宋体" w:hAnsi="宋体"/>
        </w:rPr>
        <w:t>33.3</w:t>
      </w:r>
      <w:r>
        <w:rPr>
          <w:rFonts w:ascii="宋体" w:hAnsi="宋体" w:hint="eastAsia"/>
        </w:rPr>
        <w:t>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hAnsi="宋体"/>
        </w:rPr>
      </w:pPr>
      <w:r>
        <w:rPr>
          <w:rFonts w:ascii="宋体" w:hAnsi="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hAnsi="宋体"/>
          <w:szCs w:val="21"/>
        </w:rPr>
      </w:pPr>
      <w:r>
        <w:rPr>
          <w:rFonts w:ascii="宋体" w:hAnsi="宋体" w:hint="eastAsia"/>
          <w:szCs w:val="21"/>
        </w:rPr>
        <w:t>根据本通用条款第34条，凡属于评审委员会在评审中发现的算术错误进行核实的修改不在此列。</w:t>
      </w:r>
    </w:p>
    <w:p>
      <w:pPr>
        <w:rPr>
          <w:rFonts w:ascii="黑体" w:eastAsia="黑体" w:hAnsi="宋体"/>
        </w:rPr>
      </w:pPr>
      <w:bookmarkStart w:id="100" w:name="_Toc73521669"/>
      <w:bookmarkStart w:id="101" w:name="_Toc100052400"/>
      <w:bookmarkStart w:id="102" w:name="_Toc73521581"/>
      <w:bookmarkStart w:id="103" w:name="_Toc73518151"/>
      <w:bookmarkStart w:id="104" w:name="_Toc73517673"/>
      <w:r>
        <w:rPr>
          <w:rFonts w:ascii="黑体" w:eastAsia="黑体" w:hAnsi="宋体" w:hint="eastAsia"/>
        </w:rPr>
        <w:t>34．错误</w:t>
      </w:r>
      <w:r>
        <w:rPr>
          <w:rFonts w:ascii="黑体" w:eastAsia="黑体" w:hAnsi="宋体" w:hint="eastAsia"/>
          <w:lang w:eastAsia="zh-CN"/>
        </w:rPr>
        <w:t>的</w:t>
      </w:r>
      <w:r>
        <w:rPr>
          <w:rFonts w:ascii="黑体" w:eastAsia="黑体" w:hAnsi="宋体" w:hint="eastAsia"/>
        </w:rPr>
        <w:t>修正</w:t>
      </w:r>
      <w:bookmarkEnd w:id="100"/>
      <w:bookmarkEnd w:id="101"/>
      <w:bookmarkEnd w:id="102"/>
      <w:bookmarkEnd w:id="103"/>
      <w:bookmarkEnd w:id="104"/>
    </w:p>
    <w:p>
      <w:pPr>
        <w:ind w:firstLine="470" w:firstLineChars="196"/>
        <w:rPr>
          <w:rFonts w:ascii="宋体" w:hAnsi="宋体"/>
          <w:szCs w:val="21"/>
        </w:rPr>
      </w:pPr>
      <w:r>
        <w:rPr>
          <w:rFonts w:ascii="宋体" w:hAnsi="宋体" w:hint="eastAsia"/>
          <w:szCs w:val="21"/>
        </w:rPr>
        <w:t>投标文件报价出现前后不一致的，除专用条款另有规定外，按照下列规定修正：</w:t>
      </w:r>
    </w:p>
    <w:p>
      <w:pPr>
        <w:ind w:firstLine="470" w:firstLineChars="196"/>
        <w:rPr>
          <w:rFonts w:ascii="宋体" w:hAnsi="宋体"/>
          <w:szCs w:val="21"/>
        </w:rPr>
      </w:pPr>
      <w:r>
        <w:rPr>
          <w:rFonts w:ascii="宋体" w:hAnsi="宋体" w:hint="eastAsia"/>
          <w:szCs w:val="21"/>
        </w:rPr>
        <w:t>34.1投标文件中开标一览表投标报价内容与投标文件中投标报价相应内容不一致的，以开标一览表为准；</w:t>
      </w:r>
    </w:p>
    <w:p>
      <w:pPr>
        <w:ind w:firstLine="470" w:firstLineChars="196"/>
        <w:rPr>
          <w:rFonts w:ascii="宋体" w:hAnsi="宋体"/>
          <w:szCs w:val="21"/>
        </w:rPr>
      </w:pPr>
      <w:r>
        <w:rPr>
          <w:rFonts w:ascii="宋体" w:hAnsi="宋体" w:hint="eastAsia"/>
          <w:szCs w:val="21"/>
        </w:rPr>
        <w:t>34.2大写金额和小写金额不一致的，以大写金额为准；</w:t>
      </w:r>
    </w:p>
    <w:p>
      <w:pPr>
        <w:ind w:firstLine="470" w:firstLineChars="196"/>
        <w:rPr>
          <w:rFonts w:ascii="宋体" w:hAnsi="宋体"/>
          <w:szCs w:val="21"/>
        </w:rPr>
      </w:pPr>
      <w:r>
        <w:rPr>
          <w:rFonts w:ascii="宋体" w:hAnsi="宋体" w:hint="eastAsia"/>
          <w:szCs w:val="21"/>
        </w:rPr>
        <w:t>34.3单价金额小数点或者百分比有明显错位，以开标一览表的总价为准，并修改单价；</w:t>
      </w:r>
    </w:p>
    <w:p>
      <w:pPr>
        <w:ind w:firstLine="470" w:firstLineChars="196"/>
        <w:rPr>
          <w:rFonts w:ascii="宋体" w:hAnsi="宋体"/>
          <w:szCs w:val="21"/>
        </w:rPr>
      </w:pPr>
      <w:r>
        <w:rPr>
          <w:rFonts w:ascii="宋体" w:hAnsi="宋体" w:hint="eastAsia"/>
          <w:szCs w:val="21"/>
        </w:rPr>
        <w:t>34.4总价金额与按单价汇总金额不一致的，以单价金额计算结果为准。</w:t>
      </w:r>
    </w:p>
    <w:p>
      <w:pPr>
        <w:ind w:firstLine="470" w:firstLineChars="196"/>
        <w:rPr>
          <w:rFonts w:ascii="宋体" w:hAnsi="宋体"/>
          <w:szCs w:val="21"/>
        </w:rPr>
      </w:pPr>
      <w:r>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pPr>
        <w:rPr>
          <w:rFonts w:ascii="黑体" w:eastAsia="黑体" w:hAnsi="宋体"/>
        </w:rPr>
      </w:pPr>
      <w:r>
        <w:rPr>
          <w:rFonts w:ascii="黑体" w:eastAsia="黑体" w:hAnsi="宋体" w:hint="eastAsia"/>
        </w:rPr>
        <w:t>35．投标文件的比较与评价</w:t>
      </w:r>
    </w:p>
    <w:p>
      <w:pPr>
        <w:ind w:firstLine="470" w:firstLineChars="196"/>
        <w:rPr>
          <w:rFonts w:ascii="宋体" w:hAnsi="宋体"/>
          <w:szCs w:val="21"/>
        </w:rPr>
      </w:pPr>
      <w:r>
        <w:rPr>
          <w:rFonts w:ascii="宋体" w:hAnsi="宋体" w:hint="eastAsia"/>
          <w:szCs w:val="21"/>
        </w:rPr>
        <w:t>评审委员会将按照《深圳经济特区政府采购条例</w:t>
      </w:r>
      <w:r>
        <w:rPr>
          <w:rFonts w:ascii="宋体" w:eastAsia="宋体" w:hAnsi="宋体" w:hint="eastAsia"/>
          <w:szCs w:val="21"/>
          <w:lang w:eastAsia="zh-CN"/>
        </w:rPr>
        <w:t>》《</w:t>
      </w:r>
      <w:r>
        <w:rPr>
          <w:rFonts w:ascii="宋体" w:hAnsi="宋体" w:hint="eastAsia"/>
          <w:szCs w:val="21"/>
        </w:rPr>
        <w:t>深圳经济特区政府采购条例实施细则</w:t>
      </w:r>
      <w:r>
        <w:rPr>
          <w:rFonts w:ascii="宋体" w:eastAsia="宋体" w:hAnsi="宋体" w:hint="eastAsia"/>
          <w:szCs w:val="21"/>
          <w:lang w:eastAsia="zh-CN"/>
        </w:rPr>
        <w:t>》《</w:t>
      </w:r>
      <w:r>
        <w:rPr>
          <w:rFonts w:ascii="宋体" w:hAnsi="宋体" w:hint="eastAsia"/>
          <w:szCs w:val="21"/>
        </w:rPr>
        <w:t>深圳市政府采购评标定标分离管理办法》及政府采购其他法律法规，仅对通过资格性审查和符合性审查的投标文件进行综合比较与评价。</w:t>
      </w:r>
    </w:p>
    <w:p>
      <w:pPr>
        <w:ind w:firstLine="470" w:firstLineChars="196"/>
        <w:rPr>
          <w:rFonts w:ascii="宋体" w:hAnsi="宋体"/>
          <w:szCs w:val="21"/>
        </w:rPr>
      </w:pPr>
      <w:r>
        <w:rPr>
          <w:rFonts w:ascii="宋体" w:hAnsi="宋体" w:hint="eastAsia"/>
          <w:szCs w:val="21"/>
        </w:rPr>
        <w:t>评审委员会成员对需要共同认定的事项存在争议的，应当按照少数服从多数的原则作出结论。持不同意见的评审委员会成员应当书面作出说明，否则视为无异议。</w:t>
      </w:r>
    </w:p>
    <w:p>
      <w:pPr>
        <w:rPr>
          <w:rFonts w:ascii="黑体" w:eastAsia="黑体" w:hAnsi="宋体"/>
        </w:rPr>
      </w:pPr>
      <w:r>
        <w:rPr>
          <w:rFonts w:ascii="黑体" w:eastAsia="黑体" w:hAnsi="宋体" w:hint="eastAsia"/>
        </w:rPr>
        <w:t>36. 实地考察或资料查验</w:t>
      </w:r>
    </w:p>
    <w:p>
      <w:pPr>
        <w:ind w:firstLine="470" w:firstLineChars="196"/>
        <w:rPr>
          <w:rFonts w:ascii="宋体" w:hAnsi="宋体"/>
          <w:szCs w:val="21"/>
        </w:rPr>
      </w:pPr>
      <w:r>
        <w:rPr>
          <w:rFonts w:ascii="宋体" w:hAnsi="宋体" w:hint="eastAsia"/>
          <w:szCs w:val="21"/>
        </w:rPr>
        <w:t>36.1在评审过程中，评审委员会有权决定是否对本项目投标人进行实地考察或资料查验（原件）。投标人应随时做好接受实地考察或资料查验的准备。</w:t>
      </w:r>
    </w:p>
    <w:p>
      <w:pPr>
        <w:rPr>
          <w:rFonts w:ascii="黑体" w:eastAsia="黑体" w:hAnsi="宋体"/>
        </w:rPr>
      </w:pPr>
      <w:r>
        <w:rPr>
          <w:rFonts w:ascii="黑体" w:eastAsia="黑体" w:hAnsi="宋体" w:hint="eastAsia"/>
        </w:rPr>
        <w:t>37．评审方法</w:t>
      </w:r>
    </w:p>
    <w:p>
      <w:pPr>
        <w:ind w:firstLine="470" w:firstLineChars="196"/>
        <w:rPr>
          <w:rFonts w:ascii="宋体" w:hAnsi="宋体"/>
          <w:b/>
          <w:bCs/>
          <w:szCs w:val="21"/>
        </w:rPr>
      </w:pPr>
      <w:r>
        <w:rPr>
          <w:rFonts w:ascii="宋体" w:hAnsi="宋体" w:hint="eastAsia"/>
          <w:b/>
          <w:bCs/>
          <w:szCs w:val="21"/>
        </w:rPr>
        <w:t>37.1.1最低价法</w:t>
      </w:r>
    </w:p>
    <w:p>
      <w:pPr>
        <w:ind w:firstLine="470" w:firstLineChars="196"/>
        <w:rPr>
          <w:rFonts w:ascii="ˎ̥" w:hAnsi="ˎ̥"/>
        </w:rPr>
      </w:pPr>
      <w:bookmarkStart w:id="105" w:name="_Hlk72438142"/>
      <w:r>
        <w:rPr>
          <w:rFonts w:ascii="ˎ̥" w:hAnsi="ˎ̥"/>
        </w:rPr>
        <w:t>最低价法，是指</w:t>
      </w:r>
      <w:r>
        <w:rPr>
          <w:rFonts w:ascii="ˎ̥" w:hAnsi="ˎ̥" w:hint="eastAsia"/>
        </w:rPr>
        <w:t>完全</w:t>
      </w:r>
      <w:r>
        <w:rPr>
          <w:rFonts w:ascii="ˎ̥" w:hAnsi="ˎ̥"/>
        </w:rPr>
        <w:t>满足招标文件实质性要求，</w:t>
      </w:r>
      <w:r>
        <w:rPr>
          <w:rFonts w:ascii="ˎ̥" w:hAnsi="ˎ̥" w:hint="eastAsia"/>
        </w:rPr>
        <w:t>按照报价由低到高的顺序，依据招标文件中规定的数量或者比例推荐候选中标供应商。</w:t>
      </w:r>
    </w:p>
    <w:p>
      <w:pPr>
        <w:ind w:firstLine="470" w:firstLineChars="196"/>
        <w:rPr>
          <w:rFonts w:ascii="宋体" w:hAnsi="宋体"/>
          <w:b/>
          <w:bCs/>
          <w:szCs w:val="21"/>
        </w:rPr>
      </w:pPr>
      <w:r>
        <w:rPr>
          <w:rFonts w:ascii="宋体" w:hAnsi="宋体" w:hint="eastAsia"/>
          <w:b/>
          <w:bCs/>
          <w:szCs w:val="21"/>
        </w:rPr>
        <w:t>37.1.2综合评分法</w:t>
      </w:r>
    </w:p>
    <w:p>
      <w:pPr>
        <w:ind w:firstLine="470" w:firstLineChars="196"/>
        <w:rPr>
          <w:rFonts w:ascii="ˎ̥" w:hAnsi="ˎ̥"/>
        </w:rPr>
      </w:pPr>
      <w:r>
        <w:rPr>
          <w:rFonts w:ascii="ˎ̥" w:hAnsi="ˎ̥"/>
        </w:rPr>
        <w:t>综合评分法，是指</w:t>
      </w:r>
      <w:r>
        <w:rPr>
          <w:rFonts w:ascii="ˎ̥" w:hAnsi="ˎ̥" w:hint="eastAsia"/>
        </w:rPr>
        <w:t>在</w:t>
      </w:r>
      <w:r>
        <w:rPr>
          <w:rFonts w:ascii="ˎ̥" w:hAnsi="ˎ̥"/>
        </w:rPr>
        <w:t>满足招标文件全部实质性要求</w:t>
      </w:r>
      <w:r>
        <w:rPr>
          <w:rFonts w:ascii="ˎ̥" w:hAnsi="ˎ̥" w:hint="eastAsia"/>
        </w:rPr>
        <w:t>的前提下</w:t>
      </w:r>
      <w:r>
        <w:rPr>
          <w:rFonts w:ascii="ˎ̥" w:hAnsi="ˎ̥"/>
        </w:rPr>
        <w:t>，</w:t>
      </w:r>
      <w:r>
        <w:rPr>
          <w:rFonts w:ascii="ˎ̥" w:hAnsi="ˎ̥" w:hint="eastAsia"/>
        </w:rPr>
        <w:t>按照招标文件中规定的各项因素进行综合评审，评审总得分排名前列的投标人，作为推荐的候选中标供应商。</w:t>
      </w:r>
      <w:bookmarkEnd w:id="105"/>
    </w:p>
    <w:p>
      <w:pPr>
        <w:ind w:firstLine="470" w:firstLineChars="196"/>
        <w:rPr>
          <w:rFonts w:ascii="宋体" w:hAnsi="宋体"/>
          <w:b/>
          <w:bCs/>
          <w:szCs w:val="21"/>
        </w:rPr>
      </w:pPr>
      <w:r>
        <w:rPr>
          <w:rFonts w:ascii="宋体" w:hAnsi="宋体" w:hint="eastAsia"/>
          <w:b/>
          <w:bCs/>
          <w:szCs w:val="21"/>
        </w:rPr>
        <w:t>37.2 本项目采用的评审方法见本项目招标文件第一册“专用条款”的相关内容。</w:t>
      </w:r>
    </w:p>
    <w:p>
      <w:pPr>
        <w:ind w:firstLine="470" w:firstLineChars="196"/>
        <w:rPr>
          <w:rFonts w:ascii="宋体" w:hAnsi="宋体"/>
          <w:b/>
          <w:bCs/>
          <w:szCs w:val="21"/>
        </w:rPr>
      </w:pPr>
      <w:r>
        <w:rPr>
          <w:rFonts w:ascii="宋体" w:hAnsi="宋体" w:hint="eastAsia"/>
          <w:b/>
          <w:bCs/>
          <w:szCs w:val="21"/>
        </w:rPr>
        <w:t>37.3重新评审的情形</w:t>
      </w:r>
    </w:p>
    <w:p>
      <w:pPr>
        <w:ind w:firstLine="470" w:firstLineChars="196"/>
        <w:rPr>
          <w:rFonts w:ascii="宋体" w:hAnsi="宋体"/>
          <w:b/>
          <w:bCs/>
          <w:szCs w:val="21"/>
        </w:rPr>
      </w:pPr>
      <w:r>
        <w:rPr>
          <w:rFonts w:ascii="宋体" w:hAnsi="宋体" w:cs="宋体" w:hint="eastAsia"/>
          <w:szCs w:val="21"/>
        </w:rPr>
        <w:t>评审结果汇总完成后，除下列情形外，任何人不得修改评审结果：</w:t>
      </w:r>
    </w:p>
    <w:p>
      <w:pPr>
        <w:ind w:firstLine="470" w:firstLineChars="196"/>
        <w:rPr>
          <w:rFonts w:ascii="宋体" w:hAnsi="宋体" w:cs="宋体"/>
          <w:szCs w:val="21"/>
        </w:rPr>
      </w:pPr>
      <w:r>
        <w:rPr>
          <w:rFonts w:ascii="宋体" w:hAnsi="宋体" w:cs="宋体" w:hint="eastAsia"/>
          <w:szCs w:val="21"/>
        </w:rPr>
        <w:t>37.3.1分值汇总计算错误的；</w:t>
      </w:r>
    </w:p>
    <w:p>
      <w:pPr>
        <w:ind w:firstLine="470" w:firstLineChars="196"/>
        <w:rPr>
          <w:rFonts w:ascii="宋体" w:hAnsi="宋体" w:cs="宋体"/>
          <w:szCs w:val="21"/>
        </w:rPr>
      </w:pPr>
      <w:r>
        <w:rPr>
          <w:rFonts w:ascii="宋体" w:hAnsi="宋体" w:cs="宋体" w:hint="eastAsia"/>
          <w:szCs w:val="21"/>
        </w:rPr>
        <w:t>37.3.2分项评分超出评分标准范围的；</w:t>
      </w:r>
    </w:p>
    <w:p>
      <w:pPr>
        <w:ind w:firstLine="470" w:firstLineChars="196"/>
        <w:rPr>
          <w:rFonts w:ascii="宋体" w:hAnsi="宋体" w:cs="宋体"/>
          <w:szCs w:val="21"/>
        </w:rPr>
      </w:pPr>
      <w:r>
        <w:rPr>
          <w:rFonts w:ascii="宋体" w:hAnsi="宋体" w:cs="宋体" w:hint="eastAsia"/>
          <w:szCs w:val="21"/>
        </w:rPr>
        <w:t>37.3.3评审委员会成员对客观评审因素评分不一致的；</w:t>
      </w:r>
    </w:p>
    <w:p>
      <w:pPr>
        <w:ind w:firstLine="470" w:firstLineChars="196"/>
        <w:rPr>
          <w:rFonts w:ascii="宋体" w:hAnsi="宋体" w:cs="宋体"/>
          <w:szCs w:val="21"/>
        </w:rPr>
      </w:pPr>
      <w:r>
        <w:rPr>
          <w:rFonts w:ascii="宋体" w:hAnsi="宋体" w:cs="宋体" w:hint="eastAsia"/>
          <w:szCs w:val="21"/>
        </w:rPr>
        <w:t>37.3.4经评审委员会认定评分畸高、畸低的。</w:t>
      </w:r>
    </w:p>
    <w:p>
      <w:pPr>
        <w:ind w:firstLine="470" w:firstLineChars="196"/>
        <w:rPr>
          <w:rFonts w:ascii="宋体" w:hAnsi="宋体" w:cs="宋体"/>
          <w:szCs w:val="21"/>
        </w:rPr>
      </w:pPr>
      <w:r>
        <w:rPr>
          <w:rFonts w:ascii="宋体" w:hAnsi="宋体"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hAnsi="宋体" w:cs="宋体"/>
          <w:szCs w:val="21"/>
        </w:rPr>
      </w:pPr>
      <w:r>
        <w:rPr>
          <w:rFonts w:ascii="宋体" w:hAnsi="宋体" w:cs="宋体" w:hint="eastAsia"/>
          <w:szCs w:val="21"/>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hAnsi="宋体"/>
          <w:b/>
          <w:bCs/>
          <w:szCs w:val="21"/>
        </w:rPr>
      </w:pPr>
      <w:r>
        <w:rPr>
          <w:rFonts w:ascii="宋体" w:hAnsi="宋体" w:hint="eastAsia"/>
          <w:b/>
          <w:bCs/>
          <w:szCs w:val="21"/>
        </w:rPr>
        <w:t xml:space="preserve"> 37.4重新组建评审委员会的情形</w:t>
      </w:r>
    </w:p>
    <w:p>
      <w:pPr>
        <w:ind w:firstLine="470" w:firstLineChars="196"/>
        <w:rPr>
          <w:rFonts w:ascii="宋体" w:hAnsi="宋体" w:cs="宋体"/>
          <w:szCs w:val="21"/>
        </w:rPr>
      </w:pPr>
      <w:r>
        <w:rPr>
          <w:rFonts w:ascii="宋体" w:hAnsi="宋体" w:cs="宋体" w:hint="eastAsia"/>
          <w:szCs w:val="21"/>
        </w:rPr>
        <w:t>评审委员会或者其成员存在下列情形导致评审结果无效的，重新组建评审委员会进行评标，并书面报告本级财政部门：</w:t>
      </w:r>
    </w:p>
    <w:p>
      <w:pPr>
        <w:ind w:firstLine="470" w:firstLineChars="196"/>
        <w:rPr>
          <w:rFonts w:ascii="宋体" w:hAnsi="宋体" w:cs="宋体"/>
          <w:szCs w:val="21"/>
        </w:rPr>
      </w:pPr>
      <w:r>
        <w:rPr>
          <w:rFonts w:ascii="宋体" w:hAnsi="宋体" w:cs="宋体" w:hint="eastAsia"/>
          <w:szCs w:val="21"/>
        </w:rPr>
        <w:t>37.4.1评审委员会组成不符合《政府采购货物和服务招标投标管理办法》规定的；</w:t>
      </w:r>
    </w:p>
    <w:p>
      <w:pPr>
        <w:ind w:firstLine="470" w:firstLineChars="196"/>
        <w:rPr>
          <w:rFonts w:ascii="宋体" w:hAnsi="宋体" w:cs="宋体"/>
          <w:szCs w:val="21"/>
        </w:rPr>
      </w:pPr>
      <w:r>
        <w:rPr>
          <w:rFonts w:ascii="宋体" w:hAnsi="宋体" w:cs="宋体" w:hint="eastAsia"/>
          <w:szCs w:val="21"/>
        </w:rPr>
        <w:t>37.4.2有《政府采购货物和服务招标投标管理办法》第六十二条第一至五项情形的；</w:t>
      </w:r>
    </w:p>
    <w:p>
      <w:pPr>
        <w:ind w:firstLine="470" w:firstLineChars="196"/>
        <w:rPr>
          <w:rFonts w:ascii="宋体" w:hAnsi="宋体" w:cs="宋体"/>
          <w:szCs w:val="21"/>
        </w:rPr>
      </w:pPr>
      <w:r>
        <w:rPr>
          <w:rFonts w:ascii="宋体" w:hAnsi="宋体" w:cs="宋体" w:hint="eastAsia"/>
          <w:szCs w:val="21"/>
        </w:rPr>
        <w:t>37.4.3评审委员会及其成员独立评标受到非法干预的；</w:t>
      </w:r>
    </w:p>
    <w:p>
      <w:pPr>
        <w:ind w:firstLine="470" w:firstLineChars="196"/>
        <w:rPr>
          <w:rFonts w:ascii="宋体" w:hAnsi="宋体" w:cs="宋体"/>
          <w:szCs w:val="21"/>
        </w:rPr>
      </w:pPr>
      <w:r>
        <w:rPr>
          <w:rFonts w:ascii="宋体" w:hAnsi="宋体" w:cs="宋体" w:hint="eastAsia"/>
          <w:szCs w:val="21"/>
        </w:rPr>
        <w:t>37.4.4有政府采购法实施条例第七十五条规定的违法行为的。</w:t>
      </w:r>
    </w:p>
    <w:p>
      <w:pPr>
        <w:ind w:firstLine="470" w:firstLineChars="196"/>
        <w:rPr>
          <w:rFonts w:ascii="宋体" w:hAnsi="宋体" w:cs="宋体"/>
          <w:szCs w:val="21"/>
        </w:rPr>
      </w:pPr>
      <w:r>
        <w:rPr>
          <w:rFonts w:ascii="宋体" w:hAnsi="宋体" w:cs="宋体" w:hint="eastAsia"/>
          <w:szCs w:val="21"/>
        </w:rPr>
        <w:t>有违法违规行为的原评审委员会成员不得参加重新组建的评审委员会。</w:t>
      </w:r>
    </w:p>
    <w:p>
      <w:pPr>
        <w:pStyle w:val="Heading2"/>
        <w:numPr>
          <w:ilvl w:val="0"/>
          <w:numId w:val="4"/>
        </w:numPr>
        <w:spacing w:before="120" w:beforeLines="50" w:after="120" w:afterLines="50"/>
        <w:ind w:left="562" w:hanging="562"/>
        <w:rPr>
          <w:sz w:val="28"/>
          <w:szCs w:val="28"/>
        </w:rPr>
      </w:pPr>
      <w:r>
        <w:rPr>
          <w:rFonts w:hint="eastAsia"/>
          <w:sz w:val="28"/>
          <w:szCs w:val="28"/>
        </w:rPr>
        <w:t>定标及公示</w:t>
      </w:r>
    </w:p>
    <w:p>
      <w:pPr>
        <w:rPr>
          <w:rFonts w:ascii="黑体" w:eastAsia="黑体" w:hAnsi="宋体"/>
        </w:rPr>
      </w:pPr>
      <w:r>
        <w:rPr>
          <w:rFonts w:ascii="黑体" w:eastAsia="黑体" w:hAnsi="宋体" w:hint="eastAsia"/>
        </w:rPr>
        <w:t>38．定标方法</w:t>
      </w:r>
    </w:p>
    <w:p>
      <w:pPr>
        <w:ind w:firstLine="470" w:firstLineChars="196"/>
        <w:rPr>
          <w:rFonts w:ascii="宋体" w:hAnsi="宋体"/>
          <w:szCs w:val="21"/>
        </w:rPr>
      </w:pPr>
      <w:bookmarkStart w:id="106" w:name="_Hlk73782795"/>
      <w:r>
        <w:rPr>
          <w:rFonts w:ascii="宋体" w:hAnsi="宋体" w:hint="eastAsia"/>
          <w:szCs w:val="21"/>
        </w:rPr>
        <w:t>38.1非评定分离项目定标方法</w:t>
      </w:r>
    </w:p>
    <w:p>
      <w:pPr>
        <w:ind w:firstLine="470" w:firstLineChars="196"/>
        <w:rPr>
          <w:rFonts w:ascii="宋体" w:hAnsi="宋体"/>
          <w:szCs w:val="21"/>
        </w:rPr>
      </w:pPr>
      <w:r>
        <w:rPr>
          <w:rFonts w:ascii="宋体" w:hAnsi="宋体" w:hint="eastAsia"/>
          <w:szCs w:val="21"/>
        </w:rPr>
        <w:t>38</w:t>
      </w:r>
      <w:r>
        <w:rPr>
          <w:rFonts w:ascii="宋体" w:hAnsi="宋体"/>
          <w:szCs w:val="21"/>
        </w:rPr>
        <w:t>.</w:t>
      </w:r>
      <w:r>
        <w:rPr>
          <w:rFonts w:ascii="宋体" w:hAnsi="宋体" w:hint="eastAsia"/>
          <w:szCs w:val="21"/>
        </w:rPr>
        <w:t>1.1评审委员会依据本项目招标文件所约定的评审方法进行评审和比较，向采购代理机构提交书面评审报告，并根据评审方法比较评价结果从优到劣进行排序，确定候选中标供应商。</w:t>
      </w:r>
    </w:p>
    <w:p>
      <w:pPr>
        <w:ind w:firstLine="470" w:firstLineChars="196"/>
        <w:rPr>
          <w:rFonts w:ascii="ˎ̥" w:hAnsi="ˎ̥"/>
        </w:rPr>
      </w:pPr>
      <w:r>
        <w:rPr>
          <w:rFonts w:ascii="宋体" w:hAnsi="宋体" w:hint="eastAsia"/>
          <w:szCs w:val="21"/>
        </w:rPr>
        <w:t>38</w:t>
      </w:r>
      <w:r>
        <w:rPr>
          <w:rFonts w:ascii="宋体" w:hAnsi="宋体"/>
          <w:szCs w:val="21"/>
        </w:rPr>
        <w:t>.</w:t>
      </w:r>
      <w:r>
        <w:rPr>
          <w:rFonts w:ascii="宋体" w:hAnsi="宋体" w:hint="eastAsia"/>
          <w:szCs w:val="21"/>
        </w:rPr>
        <w:t>1.2</w:t>
      </w:r>
      <w:r>
        <w:rPr>
          <w:rFonts w:ascii="ˎ̥" w:hAnsi="ˎ̥"/>
        </w:rPr>
        <w:t>采用最低价法的，评</w:t>
      </w:r>
      <w:r>
        <w:rPr>
          <w:rFonts w:ascii="ˎ̥" w:hAnsi="ˎ̥" w:hint="eastAsia"/>
        </w:rPr>
        <w:t>审</w:t>
      </w:r>
      <w:r>
        <w:rPr>
          <w:rFonts w:ascii="ˎ̥" w:hAnsi="ˎ̥"/>
        </w:rPr>
        <w:t>结果按投标报价由低到高顺序排列。投标报价相同的并列。投标文件满足招标文件全部实质性要求且投标报价最低的</w:t>
      </w:r>
      <w:r>
        <w:rPr>
          <w:rFonts w:ascii="ˎ̥" w:hAnsi="ˎ̥" w:hint="eastAsia"/>
        </w:rPr>
        <w:t>投标人为</w:t>
      </w:r>
      <w:bookmarkStart w:id="107" w:name="_Hlk73821177"/>
      <w:r>
        <w:rPr>
          <w:rFonts w:ascii="ˎ̥" w:hAnsi="ˎ̥" w:hint="eastAsia"/>
        </w:rPr>
        <w:t>中标供应商</w:t>
      </w:r>
      <w:r>
        <w:rPr>
          <w:rFonts w:ascii="ˎ̥" w:hAnsi="ˎ̥"/>
        </w:rPr>
        <w:t>（</w:t>
      </w:r>
      <w:r>
        <w:rPr>
          <w:rFonts w:ascii="ˎ̥" w:hAnsi="ˎ̥" w:hint="eastAsia"/>
        </w:rPr>
        <w:t>排名</w:t>
      </w:r>
      <w:r>
        <w:rPr>
          <w:rFonts w:ascii="ˎ̥" w:hAnsi="ˎ̥"/>
        </w:rPr>
        <w:t>第二</w:t>
      </w:r>
      <w:r>
        <w:rPr>
          <w:rFonts w:ascii="ˎ̥" w:hAnsi="ˎ̥" w:hint="eastAsia"/>
        </w:rPr>
        <w:t>的投标人为第一替补中标候选人、排名</w:t>
      </w:r>
      <w:r>
        <w:rPr>
          <w:rFonts w:ascii="ˎ̥" w:hAnsi="ˎ̥"/>
        </w:rPr>
        <w:t>第</w:t>
      </w:r>
      <w:r>
        <w:rPr>
          <w:rFonts w:ascii="ˎ̥" w:hAnsi="ˎ̥" w:hint="eastAsia"/>
        </w:rPr>
        <w:t>三的投标人为第二替补中标候选人</w:t>
      </w:r>
      <w:bookmarkEnd w:id="107"/>
      <w:r>
        <w:rPr>
          <w:rFonts w:ascii="ˎ̥" w:hAnsi="ˎ̥"/>
        </w:rPr>
        <w:t>）。</w:t>
      </w:r>
    </w:p>
    <w:p>
      <w:pPr>
        <w:ind w:firstLine="470" w:firstLineChars="196"/>
        <w:rPr>
          <w:rFonts w:ascii="ˎ̥" w:hAnsi="ˎ̥"/>
        </w:rPr>
      </w:pPr>
      <w:r>
        <w:rPr>
          <w:rFonts w:ascii="宋体" w:hAnsi="宋体" w:hint="eastAsia"/>
          <w:szCs w:val="21"/>
        </w:rPr>
        <w:t>38</w:t>
      </w:r>
      <w:r>
        <w:rPr>
          <w:rFonts w:ascii="宋体" w:hAnsi="宋体"/>
          <w:szCs w:val="21"/>
        </w:rPr>
        <w:t>.</w:t>
      </w:r>
      <w:r>
        <w:rPr>
          <w:rFonts w:ascii="宋体" w:hAnsi="宋体" w:hint="eastAsia"/>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ascii="ˎ̥" w:hAnsi="ˎ̥" w:hint="eastAsia"/>
        </w:rPr>
        <w:t>为中标供应商</w:t>
      </w:r>
      <w:r>
        <w:rPr>
          <w:rFonts w:ascii="ˎ̥" w:hAnsi="ˎ̥"/>
        </w:rPr>
        <w:t>（</w:t>
      </w:r>
      <w:r>
        <w:rPr>
          <w:rFonts w:ascii="ˎ̥" w:hAnsi="ˎ̥" w:hint="eastAsia"/>
        </w:rPr>
        <w:t>排名</w:t>
      </w:r>
      <w:r>
        <w:rPr>
          <w:rFonts w:ascii="ˎ̥" w:hAnsi="ˎ̥"/>
        </w:rPr>
        <w:t>第二</w:t>
      </w:r>
      <w:r>
        <w:rPr>
          <w:rFonts w:ascii="ˎ̥" w:hAnsi="ˎ̥" w:hint="eastAsia"/>
        </w:rPr>
        <w:t>的投标人为第一替补中标候选人、排名</w:t>
      </w:r>
      <w:r>
        <w:rPr>
          <w:rFonts w:ascii="ˎ̥" w:hAnsi="ˎ̥"/>
        </w:rPr>
        <w:t>第</w:t>
      </w:r>
      <w:r>
        <w:rPr>
          <w:rFonts w:ascii="ˎ̥" w:hAnsi="ˎ̥" w:hint="eastAsia"/>
        </w:rPr>
        <w:t>三的投标人为第二替补中标候选人</w:t>
      </w:r>
      <w:r>
        <w:rPr>
          <w:rFonts w:ascii="ˎ̥" w:hAnsi="ˎ̥"/>
        </w:rPr>
        <w:t>）。</w:t>
      </w:r>
      <w:r>
        <w:rPr>
          <w:rFonts w:ascii="ˎ̥" w:hAnsi="ˎ̥" w:hint="eastAsia"/>
        </w:rPr>
        <w:t>出现</w:t>
      </w:r>
      <w:r>
        <w:rPr>
          <w:rFonts w:ascii="ˎ̥" w:hAnsi="ˎ̥"/>
        </w:rPr>
        <w:t>得分且投标报价相同的并列</w:t>
      </w:r>
      <w:r>
        <w:rPr>
          <w:rFonts w:ascii="ˎ̥" w:hAnsi="ˎ̥" w:hint="eastAsia"/>
        </w:rPr>
        <w:t>情况时，采取随机抽取的方式确定，具体操作办法及流程由评审委员会确定。</w:t>
      </w:r>
    </w:p>
    <w:p>
      <w:pPr>
        <w:ind w:firstLine="470" w:firstLineChars="196"/>
        <w:rPr>
          <w:rFonts w:ascii="宋体" w:hAnsi="宋体"/>
          <w:szCs w:val="21"/>
        </w:rPr>
      </w:pPr>
      <w:r>
        <w:rPr>
          <w:rFonts w:ascii="宋体" w:hAnsi="宋体" w:hint="eastAsia"/>
          <w:szCs w:val="21"/>
        </w:rPr>
        <w:t>38.2评定分离项目定标方法</w:t>
      </w:r>
    </w:p>
    <w:p>
      <w:pPr>
        <w:ind w:firstLine="470" w:firstLineChars="196"/>
        <w:rPr>
          <w:rFonts w:ascii="宋体" w:hAnsi="宋体"/>
          <w:szCs w:val="21"/>
        </w:rPr>
      </w:pPr>
      <w:r>
        <w:rPr>
          <w:rFonts w:ascii="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pPr>
      <w:r>
        <w:rPr>
          <w:rFonts w:ascii="宋体" w:hAnsi="宋体"/>
          <w:szCs w:val="21"/>
        </w:rPr>
        <w:t xml:space="preserve">38.2.2 </w:t>
      </w:r>
      <w:bookmarkStart w:id="108" w:name="_Hlk71469733"/>
      <w:r>
        <w:t>适用评定分离的政府采购项目，采用综合评分法评</w:t>
      </w:r>
      <w:r>
        <w:rPr>
          <w:rFonts w:hint="eastAsia"/>
        </w:rPr>
        <w:t>审。</w:t>
      </w:r>
      <w:r>
        <w:rPr>
          <w:rFonts w:ascii="宋体" w:hAnsi="宋体" w:hint="eastAsia"/>
          <w:szCs w:val="21"/>
        </w:rPr>
        <w:t>评审委员会按照评审结果，推荐</w:t>
      </w:r>
      <w:r>
        <w:t>三个合格的候选中标供应商。</w:t>
      </w:r>
    </w:p>
    <w:p>
      <w:pPr>
        <w:ind w:firstLine="470" w:firstLineChars="196"/>
        <w:rPr>
          <w:rFonts w:ascii="宋体" w:hAnsi="宋体"/>
          <w:szCs w:val="21"/>
        </w:rPr>
      </w:pPr>
      <w:r>
        <w:rPr>
          <w:rFonts w:ascii="宋体" w:hAnsi="宋体" w:hint="eastAsia"/>
          <w:szCs w:val="21"/>
        </w:rPr>
        <w:t>38.2.3</w:t>
      </w:r>
      <w:bookmarkStart w:id="109" w:name="_Hlk71469688"/>
      <w:r>
        <w:t>适用评定分离的政府采购项目，</w:t>
      </w:r>
      <w:r>
        <w:rPr>
          <w:rFonts w:ascii="宋体" w:hAnsi="宋体" w:hint="eastAsia"/>
          <w:szCs w:val="21"/>
        </w:rPr>
        <w:t>按照自定法确定中标供应商：自定法是指采购人组织定标委员会，由定标委员会在三家候选中标供应商中确定中标供应商。</w:t>
      </w:r>
      <w:bookmarkEnd w:id="108"/>
      <w:bookmarkEnd w:id="109"/>
    </w:p>
    <w:p>
      <w:pPr>
        <w:ind w:firstLine="470" w:firstLineChars="196"/>
        <w:rPr>
          <w:rFonts w:ascii="宋体" w:hAnsi="宋体"/>
          <w:szCs w:val="21"/>
        </w:rPr>
      </w:pPr>
      <w:r>
        <w:rPr>
          <w:rFonts w:ascii="宋体" w:hAnsi="宋体"/>
          <w:szCs w:val="21"/>
        </w:rPr>
        <w:t>38.2.4</w:t>
      </w:r>
      <w:r>
        <w:rPr>
          <w:rFonts w:ascii="宋体" w:hAnsi="宋体" w:hint="eastAsia"/>
          <w:szCs w:val="21"/>
        </w:rPr>
        <w:t>采购代理机构</w:t>
      </w:r>
      <w:r>
        <w:t>应当自评审结束之日起两个工作日内将候选中标供应商名单及其投标文件、评审报告送交采购人</w:t>
      </w:r>
      <w:r>
        <w:rPr>
          <w:rFonts w:ascii="宋体" w:hAnsi="宋体" w:hint="eastAsia"/>
          <w:szCs w:val="21"/>
        </w:rPr>
        <w:t>。</w:t>
      </w:r>
      <w:r>
        <w:t>采购人应当安排专人对定标过程进行书面记录，形成定标报告，作为采购文件的组成部分存档，并及时将定标结果反馈</w:t>
      </w:r>
      <w:r>
        <w:rPr>
          <w:rFonts w:hint="eastAsia"/>
        </w:rPr>
        <w:t>采购代理机构。具体定标程序及相关要</w:t>
      </w:r>
      <w:r>
        <w:rPr>
          <w:rFonts w:eastAsia="宋体" w:hint="eastAsia"/>
          <w:lang w:eastAsia="zh-CN"/>
        </w:rPr>
        <w:t>求可</w:t>
      </w:r>
      <w:r>
        <w:rPr>
          <w:rFonts w:hint="eastAsia"/>
        </w:rPr>
        <w:t>以按照《</w:t>
      </w:r>
      <w:r>
        <w:t>深圳市财政局关于印发</w:t>
      </w:r>
      <w:r>
        <w:rPr>
          <w:rFonts w:ascii="宋体" w:hAnsi="宋体" w:hint="eastAsia"/>
        </w:rPr>
        <w:t>〈</w:t>
      </w:r>
      <w:r>
        <w:t>深圳市政府采购评标定标分离管理办法</w:t>
      </w:r>
      <w:r>
        <w:rPr>
          <w:rFonts w:ascii="宋体" w:hAnsi="宋体" w:hint="eastAsia"/>
        </w:rPr>
        <w:t>〉</w:t>
      </w:r>
      <w:r>
        <w:t>的通知</w:t>
      </w:r>
      <w:r>
        <w:rPr>
          <w:rFonts w:hint="eastAsia"/>
        </w:rPr>
        <w:t>》（深财规【2</w:t>
      </w:r>
      <w:r>
        <w:t>020</w:t>
      </w:r>
      <w:r>
        <w:rPr>
          <w:rFonts w:hint="eastAsia"/>
        </w:rPr>
        <w:t>】1号）执行。</w:t>
      </w:r>
    </w:p>
    <w:p>
      <w:pPr>
        <w:ind w:firstLine="470" w:firstLineChars="196"/>
        <w:rPr>
          <w:rFonts w:ascii="宋体" w:hAnsi="宋体"/>
          <w:szCs w:val="21"/>
        </w:rPr>
      </w:pPr>
      <w:r>
        <w:rPr>
          <w:rFonts w:ascii="宋体" w:hAnsi="宋体" w:hint="eastAsia"/>
          <w:szCs w:val="21"/>
        </w:rPr>
        <w:t>说明：采购人及投标供应商应按照上述方法提前做好相关准备。</w:t>
      </w:r>
    </w:p>
    <w:p>
      <w:pPr>
        <w:ind w:firstLine="470" w:firstLineChars="196"/>
        <w:rPr>
          <w:rFonts w:ascii="宋体" w:hAnsi="宋体"/>
          <w:szCs w:val="21"/>
        </w:rPr>
      </w:pPr>
      <w:r>
        <w:rPr>
          <w:rFonts w:ascii="宋体" w:hAnsi="宋体" w:hint="eastAsia"/>
          <w:szCs w:val="21"/>
        </w:rPr>
        <w:t>38.3专用条款另有规定的，按专用条款相关要求定标。</w:t>
      </w:r>
      <w:bookmarkEnd w:id="106"/>
    </w:p>
    <w:p>
      <w:pPr>
        <w:rPr>
          <w:rFonts w:ascii="黑体" w:eastAsia="黑体" w:hAnsi="宋体"/>
        </w:rPr>
      </w:pPr>
      <w:r>
        <w:rPr>
          <w:rFonts w:ascii="黑体" w:eastAsia="黑体" w:hAnsi="宋体" w:hint="eastAsia"/>
        </w:rPr>
        <w:t>39．编写评审报告</w:t>
      </w:r>
    </w:p>
    <w:p>
      <w:pPr>
        <w:ind w:firstLine="470" w:firstLineChars="196"/>
        <w:rPr>
          <w:rFonts w:ascii="宋体" w:hAnsi="宋体"/>
          <w:szCs w:val="21"/>
        </w:rPr>
      </w:pPr>
      <w:r>
        <w:rPr>
          <w:rFonts w:ascii="宋体" w:hAnsi="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eastAsia="黑体" w:hAnsi="宋体"/>
        </w:rPr>
      </w:pPr>
      <w:r>
        <w:rPr>
          <w:rFonts w:ascii="黑体" w:eastAsia="黑体" w:hAnsi="宋体" w:hint="eastAsia"/>
        </w:rPr>
        <w:t>40．中标公告</w:t>
      </w:r>
    </w:p>
    <w:p>
      <w:pPr>
        <w:ind w:firstLine="470" w:firstLineChars="196"/>
        <w:rPr>
          <w:rFonts w:ascii="宋体" w:hAnsi="宋体"/>
          <w:szCs w:val="21"/>
        </w:rPr>
      </w:pPr>
      <w:r>
        <w:rPr>
          <w:rFonts w:ascii="宋体" w:hAnsi="宋体" w:hint="eastAsia"/>
          <w:szCs w:val="21"/>
        </w:rPr>
        <w:t>40.1</w:t>
      </w:r>
      <w:bookmarkStart w:id="110" w:name="_Hlk72438709"/>
      <w:r>
        <w:rPr>
          <w:rFonts w:ascii="宋体" w:hAnsi="宋体" w:hint="eastAsia"/>
          <w:szCs w:val="21"/>
        </w:rPr>
        <w:t>为体现“公开、公平、公正”的原则，评审结束后经采购人确认（确定）评审结果，采购代理机构将在“深圳政府采购智慧平台（http://zfcg.szggzy.com/）”上发布中标结果公告。</w:t>
      </w:r>
      <w:bookmarkEnd w:id="110"/>
      <w:bookmarkStart w:id="111" w:name="_Hlk72438751"/>
      <w:r>
        <w:rPr>
          <w:rFonts w:ascii="宋体" w:hAnsi="宋体" w:hint="eastAsia"/>
          <w:szCs w:val="21"/>
        </w:rPr>
        <w:t>供应商如对评审结果有异议，</w:t>
      </w:r>
      <w:r>
        <w:rPr>
          <w:rFonts w:ascii="宋体" w:hAnsi="宋体"/>
          <w:szCs w:val="21"/>
        </w:rPr>
        <w:t>可在发布公示日期起</w:t>
      </w:r>
      <w:r>
        <w:rPr>
          <w:rFonts w:ascii="宋体" w:hAnsi="宋体" w:hint="eastAsia"/>
          <w:szCs w:val="21"/>
        </w:rPr>
        <w:t>七</w:t>
      </w:r>
      <w:r>
        <w:rPr>
          <w:rFonts w:ascii="宋体" w:hAnsi="宋体"/>
          <w:szCs w:val="21"/>
        </w:rPr>
        <w:t>个工作日内向</w:t>
      </w:r>
      <w:r>
        <w:rPr>
          <w:rFonts w:ascii="宋体" w:hAnsi="宋体" w:hint="eastAsia"/>
          <w:szCs w:val="21"/>
        </w:rPr>
        <w:t>采购代理机构</w:t>
      </w:r>
      <w:r>
        <w:rPr>
          <w:rFonts w:ascii="宋体" w:hAnsi="宋体"/>
          <w:szCs w:val="21"/>
        </w:rPr>
        <w:t>提出。 监督电话：0755-83948143。</w:t>
      </w:r>
      <w:r>
        <w:rPr>
          <w:rFonts w:ascii="宋体" w:hAnsi="宋体" w:hint="eastAsia"/>
          <w:szCs w:val="21"/>
        </w:rPr>
        <w:t>若在公示期内未提出质疑，则视为认同该评审结果。</w:t>
      </w:r>
    </w:p>
    <w:p>
      <w:pPr>
        <w:ind w:firstLine="470" w:firstLineChars="196"/>
        <w:rPr>
          <w:rFonts w:ascii="宋体" w:hAnsi="宋体"/>
          <w:szCs w:val="21"/>
        </w:rPr>
      </w:pPr>
      <w:bookmarkEnd w:id="111"/>
      <w:r>
        <w:rPr>
          <w:rFonts w:ascii="宋体" w:hAnsi="宋体" w:hint="eastAsia"/>
          <w:szCs w:val="21"/>
        </w:rPr>
        <w:t>40.2质疑、投诉供应商应保证质疑、投诉内容的真实性和可靠性，并承担相应的法律责任。</w:t>
      </w:r>
    </w:p>
    <w:p>
      <w:pPr>
        <w:rPr>
          <w:rFonts w:ascii="黑体" w:eastAsia="黑体" w:hAnsi="宋体"/>
        </w:rPr>
      </w:pPr>
      <w:r>
        <w:rPr>
          <w:rFonts w:ascii="黑体" w:eastAsia="黑体" w:hAnsi="宋体" w:hint="eastAsia"/>
        </w:rPr>
        <w:t>41．中标通知书</w:t>
      </w:r>
    </w:p>
    <w:p>
      <w:pPr>
        <w:ind w:firstLine="470" w:firstLineChars="196"/>
        <w:rPr>
          <w:rFonts w:ascii="宋体" w:hAnsi="宋体"/>
          <w:szCs w:val="21"/>
        </w:rPr>
      </w:pPr>
      <w:r>
        <w:rPr>
          <w:rFonts w:ascii="宋体" w:hAnsi="宋体" w:hint="eastAsia"/>
          <w:szCs w:val="21"/>
        </w:rPr>
        <w:t>41</w:t>
      </w:r>
      <w:r>
        <w:rPr>
          <w:rFonts w:ascii="宋体" w:hAnsi="宋体"/>
          <w:szCs w:val="21"/>
        </w:rPr>
        <w:t>.</w:t>
      </w:r>
      <w:r>
        <w:rPr>
          <w:rFonts w:ascii="宋体" w:hAnsi="宋体" w:hint="eastAsia"/>
          <w:szCs w:val="21"/>
        </w:rPr>
        <w:t>1</w:t>
      </w:r>
      <w:bookmarkStart w:id="112" w:name="_Hlk72438863"/>
      <w:r>
        <w:rPr>
          <w:rFonts w:ascii="宋体" w:hAnsi="宋体" w:hint="eastAsia"/>
          <w:szCs w:val="21"/>
        </w:rPr>
        <w:t>中标公告公布以后</w:t>
      </w:r>
      <w:r>
        <w:rPr>
          <w:rFonts w:ascii="宋体" w:eastAsia="宋体" w:hAnsi="宋体" w:hint="eastAsia"/>
          <w:szCs w:val="21"/>
          <w:lang w:eastAsia="zh-CN"/>
        </w:rPr>
        <w:t>，</w:t>
      </w:r>
      <w:r>
        <w:rPr>
          <w:rFonts w:ascii="宋体" w:hAnsi="宋体" w:hint="eastAsia"/>
          <w:szCs w:val="21"/>
        </w:rPr>
        <w:t>公示期内无有效质疑投诉</w:t>
      </w:r>
      <w:r>
        <w:rPr>
          <w:rFonts w:ascii="宋体" w:eastAsia="宋体" w:hAnsi="宋体" w:hint="eastAsia"/>
          <w:szCs w:val="21"/>
          <w:lang w:eastAsia="zh-CN"/>
        </w:rPr>
        <w:t>，</w:t>
      </w:r>
      <w:r>
        <w:rPr>
          <w:rFonts w:ascii="宋体" w:hAnsi="宋体" w:hint="eastAsia"/>
          <w:szCs w:val="21"/>
        </w:rPr>
        <w:t>采购代理机构将发出中标通知书。</w:t>
      </w:r>
      <w:bookmarkEnd w:id="112"/>
    </w:p>
    <w:p>
      <w:pPr>
        <w:ind w:firstLine="470" w:firstLineChars="196"/>
        <w:rPr>
          <w:rFonts w:ascii="宋体" w:hAnsi="宋体"/>
          <w:szCs w:val="21"/>
        </w:rPr>
      </w:pPr>
      <w:r>
        <w:rPr>
          <w:rFonts w:ascii="宋体" w:hAnsi="宋体" w:hint="eastAsia"/>
          <w:szCs w:val="21"/>
        </w:rPr>
        <w:t>41</w:t>
      </w:r>
      <w:r>
        <w:rPr>
          <w:rFonts w:ascii="宋体" w:hAnsi="宋体"/>
          <w:szCs w:val="21"/>
        </w:rPr>
        <w:t>.2</w:t>
      </w:r>
      <w:r>
        <w:rPr>
          <w:rFonts w:ascii="宋体" w:hAnsi="宋体" w:hint="eastAsia"/>
          <w:szCs w:val="21"/>
        </w:rPr>
        <w:t>中标通知书是合同的重要组成部分。</w:t>
      </w:r>
    </w:p>
    <w:p>
      <w:pPr>
        <w:ind w:firstLine="470" w:firstLineChars="196"/>
        <w:rPr>
          <w:rFonts w:ascii="宋体" w:hAnsi="宋体"/>
          <w:szCs w:val="21"/>
        </w:rPr>
      </w:pPr>
      <w:bookmarkStart w:id="113" w:name="_Hlk71407340"/>
      <w:r>
        <w:rPr>
          <w:rFonts w:ascii="宋体" w:hAnsi="宋体" w:hint="eastAsia"/>
          <w:szCs w:val="21"/>
        </w:rPr>
        <w:t>41.3因质疑投诉</w:t>
      </w:r>
      <w:r>
        <w:rPr>
          <w:rFonts w:ascii="宋体" w:eastAsia="宋体" w:hAnsi="宋体" w:hint="eastAsia"/>
          <w:szCs w:val="21"/>
          <w:lang w:eastAsia="zh-CN"/>
        </w:rPr>
        <w:t>或其他原因</w:t>
      </w:r>
      <w:r>
        <w:rPr>
          <w:rFonts w:ascii="宋体" w:hAnsi="宋体" w:hint="eastAsia"/>
          <w:szCs w:val="21"/>
        </w:rPr>
        <w:t>导致项目结果变更或采购终止的，采购代理机构有权吊销中标通知书。</w:t>
      </w:r>
    </w:p>
    <w:p>
      <w:pPr>
        <w:pStyle w:val="Heading2"/>
        <w:numPr>
          <w:ilvl w:val="0"/>
          <w:numId w:val="4"/>
        </w:numPr>
        <w:spacing w:before="120" w:beforeLines="50" w:after="120" w:afterLines="50"/>
        <w:ind w:left="562" w:hanging="562"/>
        <w:rPr>
          <w:sz w:val="28"/>
          <w:szCs w:val="28"/>
        </w:rPr>
      </w:pPr>
      <w:bookmarkEnd w:id="113"/>
      <w:r>
        <w:rPr>
          <w:rFonts w:hint="eastAsia"/>
          <w:sz w:val="28"/>
          <w:szCs w:val="28"/>
        </w:rPr>
        <w:t>公开招标失败的后续处理</w:t>
      </w:r>
    </w:p>
    <w:p>
      <w:pPr>
        <w:rPr>
          <w:rFonts w:ascii="黑体" w:eastAsia="黑体" w:hAnsi="宋体"/>
        </w:rPr>
      </w:pPr>
      <w:r>
        <w:rPr>
          <w:rFonts w:ascii="黑体" w:eastAsia="黑体" w:hAnsi="宋体" w:hint="eastAsia"/>
        </w:rPr>
        <w:t>42．公开招标失败的处理</w:t>
      </w:r>
    </w:p>
    <w:p>
      <w:pPr>
        <w:ind w:firstLine="470" w:firstLineChars="196"/>
        <w:rPr>
          <w:rFonts w:ascii="宋体" w:hAnsi="宋体"/>
        </w:rPr>
      </w:pPr>
      <w:r>
        <w:rPr>
          <w:rFonts w:ascii="宋体" w:hAnsi="宋体" w:hint="eastAsia"/>
          <w:szCs w:val="21"/>
        </w:rPr>
        <w:t>42.1本项目公开招标过程中若由于投标截止后</w:t>
      </w:r>
      <w:r>
        <w:rPr>
          <w:rFonts w:ascii="宋体" w:hAnsi="宋体" w:hint="eastAsia"/>
        </w:rPr>
        <w:t>实际递交</w:t>
      </w:r>
      <w:r>
        <w:rPr>
          <w:rFonts w:ascii="宋体" w:hAnsi="宋体"/>
        </w:rPr>
        <w:t>投标</w:t>
      </w:r>
      <w:r>
        <w:rPr>
          <w:rFonts w:ascii="宋体" w:hAnsi="宋体" w:hint="eastAsia"/>
        </w:rPr>
        <w:t>文件的供应商数量不足、经</w:t>
      </w:r>
      <w:r>
        <w:rPr>
          <w:rFonts w:ascii="宋体" w:hAnsi="宋体" w:hint="eastAsia"/>
          <w:szCs w:val="21"/>
        </w:rPr>
        <w:t>评审委员会</w:t>
      </w:r>
      <w:r>
        <w:rPr>
          <w:rFonts w:ascii="宋体" w:hAnsi="宋体" w:hint="eastAsia"/>
        </w:rPr>
        <w:t>评审对招标文件作实质响应的供应商不足等原因造成公开招标失败，可由</w:t>
      </w:r>
      <w:r>
        <w:rPr>
          <w:rFonts w:ascii="宋体" w:hAnsi="宋体" w:cs="宋体" w:hint="eastAsia"/>
        </w:rPr>
        <w:t>采购代理机构</w:t>
      </w:r>
      <w:r>
        <w:rPr>
          <w:rFonts w:ascii="宋体" w:hAnsi="宋体" w:hint="eastAsia"/>
        </w:rPr>
        <w:t>重新组织采购。</w:t>
      </w:r>
    </w:p>
    <w:p>
      <w:pPr>
        <w:ind w:firstLine="470" w:firstLineChars="196"/>
        <w:rPr>
          <w:rFonts w:ascii="宋体" w:hAnsi="宋体"/>
          <w:szCs w:val="21"/>
        </w:rPr>
      </w:pPr>
      <w:r>
        <w:rPr>
          <w:rFonts w:ascii="宋体" w:hAnsi="宋体" w:hint="eastAsia"/>
          <w:szCs w:val="21"/>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hAnsi="宋体"/>
          <w:szCs w:val="21"/>
        </w:rPr>
      </w:pPr>
      <w:r>
        <w:rPr>
          <w:rFonts w:ascii="宋体" w:hAnsi="宋体" w:hint="eastAsia"/>
          <w:szCs w:val="21"/>
        </w:rPr>
        <w:t>42.3重新组织采购有以下两种组织形式：</w:t>
      </w:r>
    </w:p>
    <w:p>
      <w:pPr>
        <w:ind w:firstLine="470" w:firstLineChars="196"/>
        <w:rPr>
          <w:rFonts w:ascii="宋体" w:hAnsi="宋体"/>
        </w:rPr>
      </w:pPr>
      <w:r>
        <w:rPr>
          <w:rFonts w:ascii="宋体" w:hAnsi="宋体" w:hint="eastAsia"/>
        </w:rPr>
        <w:t>（1）由采购代理机构重新组织公开招标；</w:t>
      </w:r>
    </w:p>
    <w:p>
      <w:pPr>
        <w:ind w:firstLine="470" w:firstLineChars="196"/>
        <w:rPr>
          <w:rFonts w:ascii="宋体" w:hAnsi="宋体"/>
        </w:rPr>
      </w:pPr>
      <w:r>
        <w:rPr>
          <w:rFonts w:ascii="宋体" w:hAnsi="宋体" w:hint="eastAsia"/>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hAnsi="宋体"/>
        </w:rPr>
      </w:pPr>
      <w:r>
        <w:rPr>
          <w:rFonts w:ascii="宋体" w:hAnsi="宋体" w:hint="eastAsia"/>
        </w:rPr>
        <w:t>42.4公开招标失败的采购项目重新组织公开招标，由采购代理机构重新按公开招标流程组织采购活动。</w:t>
      </w:r>
    </w:p>
    <w:p>
      <w:pPr>
        <w:rPr>
          <w:rFonts w:ascii="宋体" w:hAnsi="宋体"/>
        </w:rPr>
      </w:pPr>
      <w:r>
        <w:rPr>
          <w:rFonts w:ascii="宋体" w:hAnsi="宋体" w:hint="eastAsia"/>
        </w:rPr>
        <w:t>42.5公开招标失败的采购项目经同级财政部门批准转为竞争性谈判或单一来源谈判方式采购的，按规定要求组织政府采购工作。</w:t>
      </w:r>
    </w:p>
    <w:p>
      <w:pPr>
        <w:pStyle w:val="Heading2"/>
        <w:numPr>
          <w:ilvl w:val="0"/>
          <w:numId w:val="4"/>
        </w:numPr>
        <w:spacing w:before="120" w:beforeLines="50" w:after="120" w:afterLines="50"/>
        <w:ind w:left="562" w:hanging="562"/>
        <w:rPr>
          <w:sz w:val="28"/>
          <w:szCs w:val="28"/>
        </w:rPr>
      </w:pPr>
      <w:bookmarkStart w:id="114" w:name="_Hlk72439043"/>
      <w:r>
        <w:rPr>
          <w:rFonts w:hint="eastAsia"/>
          <w:sz w:val="28"/>
          <w:szCs w:val="28"/>
        </w:rPr>
        <w:t>合同的授予与备案</w:t>
      </w:r>
      <w:bookmarkEnd w:id="114"/>
    </w:p>
    <w:p>
      <w:pPr>
        <w:rPr>
          <w:rFonts w:ascii="黑体" w:eastAsia="黑体" w:hAnsi="宋体"/>
        </w:rPr>
      </w:pPr>
      <w:bookmarkStart w:id="115" w:name="_Toc73521674"/>
      <w:bookmarkStart w:id="116" w:name="_Toc73521586"/>
      <w:bookmarkStart w:id="117" w:name="_Toc73518157"/>
      <w:bookmarkStart w:id="118" w:name="_Toc100052408"/>
      <w:bookmarkStart w:id="119" w:name="_Toc73517679"/>
      <w:bookmarkStart w:id="120" w:name="_Hlk72439088"/>
      <w:r>
        <w:rPr>
          <w:rFonts w:ascii="黑体" w:eastAsia="黑体" w:hAnsi="宋体" w:hint="eastAsia"/>
        </w:rPr>
        <w:t>43．合同授予标准</w:t>
      </w:r>
      <w:bookmarkEnd w:id="115"/>
      <w:bookmarkEnd w:id="116"/>
      <w:bookmarkEnd w:id="117"/>
      <w:bookmarkEnd w:id="118"/>
      <w:bookmarkEnd w:id="119"/>
    </w:p>
    <w:p>
      <w:pPr>
        <w:ind w:firstLine="470" w:firstLineChars="196"/>
        <w:rPr>
          <w:rFonts w:ascii="宋体" w:hAnsi="宋体"/>
          <w:szCs w:val="21"/>
        </w:rPr>
      </w:pPr>
      <w:r>
        <w:rPr>
          <w:rFonts w:ascii="宋体" w:hAnsi="宋体" w:hint="eastAsia"/>
          <w:szCs w:val="21"/>
        </w:rPr>
        <w:t>本项目的合同将授予经本招标文件规定评审确定的中标供应商。</w:t>
      </w:r>
    </w:p>
    <w:p>
      <w:pPr>
        <w:rPr>
          <w:rFonts w:ascii="黑体" w:eastAsia="黑体" w:hAnsi="宋体"/>
        </w:rPr>
      </w:pPr>
      <w:bookmarkStart w:id="121" w:name="_Toc73518158"/>
      <w:bookmarkStart w:id="122" w:name="_Toc73517680"/>
      <w:bookmarkStart w:id="123" w:name="_Toc73521587"/>
      <w:bookmarkStart w:id="124" w:name="_Toc73521675"/>
      <w:bookmarkStart w:id="125" w:name="_Toc100052409"/>
      <w:r>
        <w:rPr>
          <w:rFonts w:ascii="黑体" w:eastAsia="黑体" w:hAnsi="宋体" w:hint="eastAsia"/>
        </w:rPr>
        <w:t>44．</w:t>
      </w:r>
      <w:bookmarkEnd w:id="121"/>
      <w:bookmarkEnd w:id="122"/>
      <w:bookmarkEnd w:id="123"/>
      <w:bookmarkEnd w:id="124"/>
      <w:bookmarkEnd w:id="125"/>
      <w:r>
        <w:rPr>
          <w:rFonts w:ascii="黑体" w:eastAsia="黑体" w:hAnsi="宋体" w:hint="eastAsia"/>
        </w:rPr>
        <w:t>接受和拒绝任何或所有投标的权力</w:t>
      </w:r>
    </w:p>
    <w:p>
      <w:pPr>
        <w:ind w:firstLine="470" w:firstLineChars="196"/>
        <w:rPr>
          <w:rFonts w:ascii="宋体" w:hAnsi="宋体"/>
          <w:szCs w:val="21"/>
        </w:rPr>
      </w:pPr>
      <w:r>
        <w:rPr>
          <w:rFonts w:ascii="宋体" w:hAnsi="宋体" w:hint="eastAsia"/>
          <w:szCs w:val="21"/>
        </w:rPr>
        <w:t>采购代理机构和采购人保留在投标之前任何时候接受或拒绝任何投标或所有投标，以及宣布招标无效的权力，对受影响的投标人不承担任何责任，也无义务向受影响的投标人解释采取这一行动的理由。</w:t>
      </w:r>
    </w:p>
    <w:p>
      <w:pPr>
        <w:rPr>
          <w:rFonts w:ascii="黑体" w:eastAsia="黑体" w:hAnsi="宋体"/>
        </w:rPr>
      </w:pPr>
      <w:bookmarkStart w:id="126" w:name="_Toc73518160"/>
      <w:bookmarkStart w:id="127" w:name="_Toc73521677"/>
      <w:bookmarkStart w:id="128" w:name="_Toc73521589"/>
      <w:bookmarkStart w:id="129" w:name="_Toc73517682"/>
      <w:bookmarkStart w:id="130" w:name="_Toc100052410"/>
      <w:r>
        <w:rPr>
          <w:rFonts w:ascii="黑体" w:eastAsia="黑体" w:hAnsi="宋体" w:hint="eastAsia"/>
        </w:rPr>
        <w:t>45．合同的签订</w:t>
      </w:r>
      <w:bookmarkEnd w:id="126"/>
      <w:bookmarkEnd w:id="127"/>
      <w:bookmarkEnd w:id="128"/>
      <w:bookmarkEnd w:id="129"/>
      <w:bookmarkEnd w:id="130"/>
    </w:p>
    <w:p>
      <w:pPr>
        <w:ind w:firstLine="470" w:firstLineChars="196"/>
        <w:rPr>
          <w:rFonts w:ascii="宋体" w:hAnsi="宋体"/>
          <w:szCs w:val="21"/>
        </w:rPr>
      </w:pPr>
      <w:r>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hAnsi="宋体"/>
          <w:szCs w:val="21"/>
        </w:rPr>
      </w:pPr>
      <w:r>
        <w:rPr>
          <w:rFonts w:ascii="宋体" w:hAnsi="宋体" w:hint="eastAsia"/>
          <w:szCs w:val="21"/>
        </w:rPr>
        <w:t>45.2中标人如不按本通用条款第45</w:t>
      </w:r>
      <w:r>
        <w:rPr>
          <w:rFonts w:ascii="宋体" w:hAnsi="宋体"/>
          <w:szCs w:val="21"/>
        </w:rPr>
        <w:t>.1</w:t>
      </w:r>
      <w:r>
        <w:rPr>
          <w:rFonts w:ascii="宋体" w:hAnsi="宋体" w:hint="eastAsia"/>
          <w:szCs w:val="21"/>
        </w:rPr>
        <w:t>款的规定与采购人签订合同，</w:t>
      </w:r>
      <w:r>
        <w:rPr>
          <w:rFonts w:ascii="宋体" w:hAnsi="宋体" w:cs="宋体"/>
          <w:szCs w:val="21"/>
        </w:rPr>
        <w:t>情节严重的，由</w:t>
      </w:r>
      <w:r>
        <w:rPr>
          <w:rFonts w:ascii="宋体" w:hAnsi="宋体" w:cs="宋体" w:hint="eastAsia"/>
          <w:szCs w:val="21"/>
        </w:rPr>
        <w:t>同级财政</w:t>
      </w:r>
      <w:r>
        <w:rPr>
          <w:rFonts w:ascii="宋体" w:hAnsi="宋体" w:cs="宋体"/>
          <w:szCs w:val="21"/>
        </w:rPr>
        <w:t>部门记入供应商诚信档案，予以通报</w:t>
      </w:r>
      <w:r>
        <w:rPr>
          <w:rFonts w:ascii="宋体" w:hAnsi="宋体" w:hint="eastAsia"/>
          <w:szCs w:val="21"/>
        </w:rPr>
        <w:t>；</w:t>
      </w:r>
    </w:p>
    <w:p>
      <w:pPr>
        <w:ind w:firstLine="470" w:firstLineChars="196"/>
        <w:rPr>
          <w:rFonts w:ascii="宋体" w:hAnsi="宋体"/>
          <w:szCs w:val="21"/>
        </w:rPr>
      </w:pPr>
      <w:r>
        <w:rPr>
          <w:rFonts w:ascii="宋体" w:hAnsi="宋体" w:hint="eastAsia"/>
          <w:szCs w:val="21"/>
        </w:rPr>
        <w:t>45.3中标人应当按照合同约定履行义务，完成中标项目，不得将中标项目转让（转包）给他人。</w:t>
      </w:r>
    </w:p>
    <w:p>
      <w:pPr>
        <w:rPr>
          <w:rFonts w:ascii="黑体" w:eastAsia="黑体" w:hAnsi="宋体"/>
        </w:rPr>
      </w:pPr>
      <w:bookmarkStart w:id="131" w:name="_Toc73518161"/>
      <w:bookmarkStart w:id="132" w:name="_Toc73517683"/>
      <w:bookmarkStart w:id="133" w:name="_Toc73521590"/>
      <w:bookmarkStart w:id="134" w:name="_Toc100052411"/>
      <w:bookmarkStart w:id="135" w:name="_Toc73521678"/>
      <w:r>
        <w:rPr>
          <w:rFonts w:ascii="黑体" w:eastAsia="黑体" w:hAnsi="宋体" w:hint="eastAsia"/>
        </w:rPr>
        <w:t>46．履约担保</w:t>
      </w:r>
      <w:bookmarkEnd w:id="131"/>
      <w:bookmarkEnd w:id="132"/>
      <w:bookmarkEnd w:id="133"/>
      <w:bookmarkEnd w:id="134"/>
      <w:bookmarkEnd w:id="135"/>
    </w:p>
    <w:p>
      <w:pPr>
        <w:ind w:firstLine="470" w:firstLineChars="196"/>
        <w:rPr>
          <w:rFonts w:ascii="宋体" w:hAnsi="宋体"/>
          <w:szCs w:val="21"/>
        </w:rPr>
      </w:pPr>
      <w:r>
        <w:rPr>
          <w:rFonts w:ascii="宋体" w:hAnsi="宋体" w:hint="eastAsia"/>
          <w:szCs w:val="21"/>
        </w:rPr>
        <w:t>46.1在签订项目合同的同时，中标人应按“对通用条款的补充内容”中规定的金额向采购人提交履约担保；</w:t>
      </w:r>
    </w:p>
    <w:p>
      <w:pPr>
        <w:ind w:firstLine="470" w:firstLineChars="196"/>
        <w:rPr>
          <w:rFonts w:ascii="宋体" w:hAnsi="宋体"/>
          <w:szCs w:val="21"/>
        </w:rPr>
      </w:pPr>
      <w:r>
        <w:rPr>
          <w:rFonts w:ascii="宋体" w:hAnsi="宋体" w:hint="eastAsia"/>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w:t>
      </w:r>
      <w:r>
        <w:rPr>
          <w:rFonts w:eastAsia="宋体" w:hint="eastAsia"/>
          <w:lang w:eastAsia="zh-CN"/>
        </w:rPr>
        <w:t>法律法规</w:t>
      </w:r>
      <w:r>
        <w:t>明确规定外的其他担保</w:t>
      </w:r>
      <w:r>
        <w:rPr>
          <w:rFonts w:hint="eastAsia"/>
        </w:rPr>
        <w:t>。</w:t>
      </w:r>
    </w:p>
    <w:p>
      <w:pPr>
        <w:rPr>
          <w:rFonts w:ascii="黑体" w:eastAsia="黑体" w:hAnsi="宋体"/>
        </w:rPr>
      </w:pPr>
      <w:r>
        <w:rPr>
          <w:rFonts w:ascii="黑体" w:eastAsia="黑体" w:hAnsi="宋体" w:hint="eastAsia"/>
        </w:rPr>
        <w:t>47. 合同备案</w:t>
      </w:r>
    </w:p>
    <w:p>
      <w:pPr>
        <w:ind w:firstLine="470" w:firstLineChars="196"/>
        <w:rPr>
          <w:rFonts w:ascii="宋体" w:hAnsi="宋体"/>
          <w:szCs w:val="21"/>
        </w:rPr>
      </w:pPr>
      <w:r>
        <w:rPr>
          <w:rFonts w:ascii="宋体" w:hAnsi="宋体" w:hint="eastAsia"/>
          <w:szCs w:val="21"/>
        </w:rPr>
        <w:t>采购人与中标人应于合同签订之日起十日内，由采购人或委托中标人将采购合同副本抄送合同备案工作实施机构备案。</w:t>
      </w:r>
    </w:p>
    <w:p>
      <w:pPr>
        <w:rPr>
          <w:rFonts w:ascii="黑体" w:eastAsia="黑体" w:hAnsi="宋体"/>
        </w:rPr>
      </w:pPr>
      <w:r>
        <w:rPr>
          <w:rFonts w:ascii="黑体" w:eastAsia="黑体" w:hAnsi="宋体" w:hint="eastAsia"/>
        </w:rPr>
        <w:t>48. 合同变更</w:t>
      </w:r>
    </w:p>
    <w:p>
      <w:pPr>
        <w:ind w:firstLine="470" w:firstLineChars="196"/>
        <w:rPr>
          <w:rFonts w:ascii="宋体" w:hAnsi="宋体"/>
          <w:szCs w:val="21"/>
        </w:rPr>
      </w:pPr>
      <w:r>
        <w:rPr>
          <w:rFonts w:ascii="宋体" w:hAnsi="宋体" w:hint="eastAsia"/>
          <w:szCs w:val="21"/>
        </w:rPr>
        <w:t>合同变更事宜按《深圳市财政局 深圳市政府采购中心关于进一步加强市本级政府采购合同备案管理工作的通知》（深财购〔2019〕43号）相关规定执行。</w:t>
      </w:r>
    </w:p>
    <w:p>
      <w:pPr>
        <w:rPr>
          <w:rFonts w:ascii="黑体" w:eastAsia="黑体" w:hAnsi="宋体"/>
        </w:rPr>
      </w:pPr>
      <w:r>
        <w:rPr>
          <w:rFonts w:ascii="黑体" w:eastAsia="黑体" w:hAnsi="宋体" w:hint="eastAsia"/>
        </w:rPr>
        <w:t>49. 项目验收</w:t>
      </w:r>
    </w:p>
    <w:p>
      <w:pPr>
        <w:ind w:right="176" w:firstLine="420"/>
        <w:rPr>
          <w:rFonts w:ascii="宋体" w:hAnsi="宋体"/>
        </w:rPr>
      </w:pPr>
      <w:r>
        <w:rPr>
          <w:rFonts w:ascii="宋体" w:hAnsi="宋体" w:hint="eastAsia"/>
        </w:rPr>
        <w:t>49.1采购人应当按照招标文件和合同规定的标准和方法，及时组织验收。</w:t>
      </w:r>
    </w:p>
    <w:p>
      <w:pPr>
        <w:rPr>
          <w:rFonts w:ascii="黑体" w:eastAsia="黑体" w:hAnsi="宋体"/>
        </w:rPr>
      </w:pPr>
      <w:r>
        <w:rPr>
          <w:rFonts w:ascii="黑体" w:eastAsia="黑体" w:hAnsi="宋体" w:hint="eastAsia"/>
        </w:rPr>
        <w:t>50. 宣传</w:t>
      </w:r>
    </w:p>
    <w:p>
      <w:pPr>
        <w:ind w:left="240" w:firstLine="470" w:leftChars="100" w:firstLineChars="196"/>
        <w:rPr>
          <w:rFonts w:ascii="宋体" w:hAnsi="宋体"/>
        </w:rPr>
      </w:pPr>
      <w:r>
        <w:rPr>
          <w:rFonts w:ascii="宋体" w:hAnsi="宋体" w:hint="eastAsia"/>
        </w:rPr>
        <w:t>凡与政府采购活动有关的宣传或广告，若当中提及政府采购，</w:t>
      </w:r>
      <w:r>
        <w:rPr>
          <w:rFonts w:ascii="宋体" w:hAnsi="宋体"/>
        </w:rPr>
        <w:t>必须事先将具体对外宣传方案报</w:t>
      </w:r>
      <w:r>
        <w:rPr>
          <w:rFonts w:ascii="宋体" w:hAnsi="宋体" w:hint="eastAsia"/>
        </w:rPr>
        <w:t>同级财政部门</w:t>
      </w:r>
      <w:r>
        <w:rPr>
          <w:rFonts w:ascii="宋体" w:hAnsi="宋体"/>
        </w:rPr>
        <w:t>和</w:t>
      </w:r>
      <w:r>
        <w:rPr>
          <w:rFonts w:ascii="宋体" w:hAnsi="宋体" w:hint="eastAsia"/>
        </w:rPr>
        <w:t>采购代理机构</w:t>
      </w:r>
      <w:r>
        <w:rPr>
          <w:rFonts w:ascii="宋体" w:hAnsi="宋体"/>
        </w:rPr>
        <w:t>，并征得其同意。对外市场宣传包括但不限于以下形式：</w:t>
      </w:r>
    </w:p>
    <w:p>
      <w:pPr>
        <w:ind w:left="240" w:firstLine="470" w:leftChars="100" w:firstLineChars="196"/>
        <w:rPr>
          <w:rFonts w:ascii="宋体" w:hAnsi="宋体"/>
        </w:rPr>
      </w:pPr>
      <w:r>
        <w:rPr>
          <w:rFonts w:ascii="宋体" w:hAnsi="宋体"/>
        </w:rPr>
        <w:t>a.名片、宣传册、广告标语等；</w:t>
      </w:r>
    </w:p>
    <w:p>
      <w:pPr>
        <w:ind w:left="240" w:firstLine="470" w:leftChars="100" w:firstLineChars="196"/>
        <w:rPr>
          <w:rFonts w:ascii="宋体" w:hAnsi="宋体"/>
        </w:rPr>
      </w:pPr>
      <w:r>
        <w:rPr>
          <w:rFonts w:ascii="宋体" w:hAnsi="宋体"/>
        </w:rPr>
        <w:t>b.案例介绍、推广等；</w:t>
      </w:r>
    </w:p>
    <w:p>
      <w:pPr>
        <w:ind w:left="240" w:firstLine="470" w:leftChars="100" w:firstLineChars="196"/>
        <w:rPr>
          <w:rFonts w:ascii="宋体" w:hAnsi="宋体"/>
        </w:rPr>
      </w:pPr>
      <w:r>
        <w:rPr>
          <w:rFonts w:ascii="宋体" w:hAnsi="宋体" w:hint="eastAsia"/>
        </w:rPr>
        <w:t>c.工作</w:t>
      </w:r>
      <w:r>
        <w:rPr>
          <w:rFonts w:ascii="宋体" w:hAnsi="宋体"/>
        </w:rPr>
        <w:t>人员向其他消费群体宣传。</w:t>
      </w:r>
    </w:p>
    <w:p>
      <w:pPr>
        <w:rPr>
          <w:rFonts w:ascii="黑体" w:eastAsia="黑体" w:hAnsi="宋体"/>
        </w:rPr>
      </w:pPr>
      <w:r>
        <w:rPr>
          <w:rFonts w:ascii="黑体" w:eastAsia="黑体" w:hAnsi="宋体" w:hint="eastAsia"/>
        </w:rPr>
        <w:t>51. 供应商违法责任</w:t>
      </w:r>
    </w:p>
    <w:p>
      <w:pPr>
        <w:ind w:firstLine="470" w:firstLineChars="196"/>
        <w:rPr>
          <w:rFonts w:ascii="宋体" w:hAnsi="宋体"/>
          <w:szCs w:val="21"/>
        </w:rPr>
      </w:pPr>
      <w:r>
        <w:rPr>
          <w:rFonts w:ascii="宋体" w:hAnsi="宋体" w:hint="eastAsia"/>
          <w:szCs w:val="21"/>
        </w:rPr>
        <w:t>5</w:t>
      </w:r>
      <w:r>
        <w:rPr>
          <w:rFonts w:ascii="宋体" w:hAnsi="宋体"/>
          <w:szCs w:val="21"/>
        </w:rPr>
        <w:t>1.1</w:t>
      </w:r>
      <w:r>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hAnsi="宋体"/>
          <w:szCs w:val="21"/>
        </w:rPr>
      </w:pPr>
      <w:r>
        <w:rPr>
          <w:rFonts w:ascii="宋体" w:hAnsi="宋体" w:hint="eastAsia"/>
          <w:szCs w:val="21"/>
        </w:rPr>
        <w:t>（1）在采购活动中应当回避而未回避的；</w:t>
      </w:r>
    </w:p>
    <w:p>
      <w:pPr>
        <w:ind w:firstLine="470" w:firstLineChars="196"/>
        <w:rPr>
          <w:rFonts w:ascii="宋体" w:hAnsi="宋体"/>
          <w:szCs w:val="21"/>
        </w:rPr>
      </w:pPr>
      <w:r>
        <w:rPr>
          <w:rFonts w:ascii="宋体" w:hAnsi="宋体" w:hint="eastAsia"/>
          <w:szCs w:val="21"/>
        </w:rPr>
        <w:t>（2）未按本条例规定签订、履行采购合同，造成严重后果的；</w:t>
      </w:r>
    </w:p>
    <w:p>
      <w:pPr>
        <w:ind w:firstLine="470" w:firstLineChars="196"/>
        <w:rPr>
          <w:rFonts w:ascii="宋体" w:hAnsi="宋体"/>
          <w:szCs w:val="21"/>
        </w:rPr>
      </w:pPr>
      <w:r>
        <w:rPr>
          <w:rFonts w:ascii="宋体" w:hAnsi="宋体" w:hint="eastAsia"/>
          <w:szCs w:val="21"/>
        </w:rPr>
        <w:t>（3）隐瞒真实情况，提供虚假资料的；</w:t>
      </w:r>
    </w:p>
    <w:p>
      <w:pPr>
        <w:ind w:firstLine="470" w:firstLineChars="196"/>
        <w:rPr>
          <w:rFonts w:ascii="宋体" w:hAnsi="宋体"/>
          <w:szCs w:val="21"/>
        </w:rPr>
      </w:pPr>
      <w:r>
        <w:rPr>
          <w:rFonts w:ascii="宋体" w:hAnsi="宋体" w:hint="eastAsia"/>
          <w:szCs w:val="21"/>
        </w:rPr>
        <w:t>（4）以非法手段排斥其他供应商参与竞争的；</w:t>
      </w:r>
    </w:p>
    <w:p>
      <w:pPr>
        <w:ind w:firstLine="470" w:firstLineChars="196"/>
        <w:rPr>
          <w:rFonts w:ascii="宋体" w:hAnsi="宋体"/>
          <w:szCs w:val="21"/>
        </w:rPr>
      </w:pPr>
      <w:r>
        <w:rPr>
          <w:rFonts w:ascii="宋体" w:hAnsi="宋体" w:hint="eastAsia"/>
          <w:szCs w:val="21"/>
        </w:rPr>
        <w:t>（5）与其他采购参加人串通投标的；</w:t>
      </w:r>
    </w:p>
    <w:p>
      <w:pPr>
        <w:ind w:firstLine="470" w:firstLineChars="196"/>
        <w:rPr>
          <w:rFonts w:ascii="宋体" w:hAnsi="宋体"/>
          <w:szCs w:val="21"/>
        </w:rPr>
      </w:pPr>
      <w:r>
        <w:rPr>
          <w:rFonts w:ascii="宋体" w:hAnsi="宋体" w:hint="eastAsia"/>
          <w:szCs w:val="21"/>
        </w:rPr>
        <w:t>（6）恶意投诉的；</w:t>
      </w:r>
    </w:p>
    <w:p>
      <w:pPr>
        <w:ind w:firstLine="470" w:firstLineChars="196"/>
        <w:rPr>
          <w:rFonts w:ascii="宋体" w:hAnsi="宋体"/>
          <w:szCs w:val="21"/>
        </w:rPr>
      </w:pPr>
      <w:r>
        <w:rPr>
          <w:rFonts w:ascii="宋体" w:hAnsi="宋体" w:hint="eastAsia"/>
          <w:szCs w:val="21"/>
        </w:rPr>
        <w:t>（7）向采购项目相关人行贿或者提供其他不当利益的；</w:t>
      </w:r>
    </w:p>
    <w:p>
      <w:pPr>
        <w:ind w:firstLine="470" w:firstLineChars="196"/>
        <w:rPr>
          <w:rFonts w:ascii="宋体" w:hAnsi="宋体"/>
          <w:szCs w:val="21"/>
        </w:rPr>
      </w:pPr>
      <w:r>
        <w:rPr>
          <w:rFonts w:ascii="宋体" w:hAnsi="宋体" w:hint="eastAsia"/>
          <w:szCs w:val="21"/>
        </w:rPr>
        <w:t>（8）阻碍、抗拒主管部门监督检查的；</w:t>
      </w:r>
    </w:p>
    <w:p>
      <w:pPr>
        <w:ind w:firstLine="470" w:firstLineChars="196"/>
        <w:rPr>
          <w:rFonts w:ascii="宋体" w:hAnsi="宋体"/>
          <w:szCs w:val="21"/>
        </w:rPr>
      </w:pPr>
      <w:r>
        <w:rPr>
          <w:rFonts w:ascii="宋体" w:hAnsi="宋体" w:hint="eastAsia"/>
          <w:szCs w:val="21"/>
        </w:rPr>
        <w:t>（9）其他违反本条例规定的行为。</w:t>
      </w:r>
    </w:p>
    <w:p>
      <w:pPr>
        <w:ind w:firstLine="470" w:firstLineChars="196"/>
        <w:rPr>
          <w:rFonts w:ascii="宋体" w:hAnsi="宋体"/>
          <w:szCs w:val="21"/>
        </w:rPr>
      </w:pPr>
      <w:r>
        <w:rPr>
          <w:rFonts w:ascii="宋体" w:hAnsi="宋体" w:hint="eastAsia"/>
          <w:szCs w:val="21"/>
        </w:rPr>
        <w:t>5</w:t>
      </w:r>
      <w:r>
        <w:rPr>
          <w:rFonts w:ascii="宋体" w:hAnsi="宋体"/>
          <w:szCs w:val="21"/>
        </w:rPr>
        <w:t xml:space="preserve">1.2 </w:t>
      </w:r>
      <w:r>
        <w:rPr>
          <w:rFonts w:ascii="宋体" w:hAnsi="宋体" w:hint="eastAsia"/>
          <w:szCs w:val="21"/>
        </w:rPr>
        <w:t>根据《深圳市财政局关于明确政府采购保证金管理工作的通知》（深财购[2019]42号）的要求，供应商在政府采购活动中出现《深圳经济特区政府采购条例实施细则》第八十四条所列情形的，</w:t>
      </w:r>
      <w:bookmarkStart w:id="136" w:name="_Hlk72440769"/>
      <w:r>
        <w:rPr>
          <w:rFonts w:ascii="宋体" w:hAnsi="宋体" w:hint="eastAsia"/>
          <w:szCs w:val="21"/>
        </w:rPr>
        <w:t>采购人或</w:t>
      </w:r>
      <w:bookmarkEnd w:id="136"/>
      <w:r>
        <w:rPr>
          <w:rFonts w:ascii="宋体" w:hAnsi="宋体" w:hint="eastAsia"/>
          <w:szCs w:val="21"/>
        </w:rPr>
        <w:t>采购代理机构可将有关情况报同级财政部门，由财政部门根据实际情况记入供应商诚信档案，予以通报：</w:t>
      </w:r>
    </w:p>
    <w:p>
      <w:pPr>
        <w:ind w:firstLine="470" w:firstLineChars="196"/>
        <w:rPr>
          <w:rFonts w:ascii="宋体" w:hAnsi="宋体"/>
          <w:szCs w:val="21"/>
        </w:rPr>
      </w:pPr>
      <w:r>
        <w:rPr>
          <w:rFonts w:ascii="宋体" w:hAnsi="宋体" w:hint="eastAsia"/>
          <w:szCs w:val="21"/>
        </w:rPr>
        <w:t>（1</w:t>
      </w:r>
      <w:r>
        <w:rPr>
          <w:rFonts w:ascii="宋体" w:hAnsi="宋体"/>
          <w:szCs w:val="21"/>
        </w:rPr>
        <w:t>）投标截止后，撤销投标的；</w:t>
      </w:r>
    </w:p>
    <w:p>
      <w:pPr>
        <w:ind w:firstLine="470" w:firstLineChars="196"/>
        <w:rPr>
          <w:rFonts w:ascii="宋体" w:hAnsi="宋体"/>
          <w:szCs w:val="21"/>
        </w:rPr>
      </w:pPr>
      <w:r>
        <w:rPr>
          <w:rFonts w:ascii="宋体" w:hAnsi="宋体"/>
          <w:szCs w:val="21"/>
        </w:rPr>
        <w:t>（</w:t>
      </w:r>
      <w:r>
        <w:rPr>
          <w:rFonts w:ascii="宋体" w:hAnsi="宋体" w:hint="eastAsia"/>
          <w:szCs w:val="21"/>
        </w:rPr>
        <w:t>2</w:t>
      </w:r>
      <w:r>
        <w:rPr>
          <w:rFonts w:ascii="宋体" w:hAnsi="宋体"/>
          <w:szCs w:val="21"/>
        </w:rPr>
        <w:t>）中标后无正当理由未在规定期限内签订合同的；</w:t>
      </w:r>
    </w:p>
    <w:p>
      <w:pPr>
        <w:ind w:firstLine="470" w:firstLineChars="196"/>
        <w:rPr>
          <w:rFonts w:ascii="宋体" w:hAnsi="宋体"/>
          <w:szCs w:val="21"/>
        </w:rPr>
      </w:pPr>
      <w:r>
        <w:rPr>
          <w:rFonts w:ascii="宋体" w:hAnsi="宋体"/>
          <w:szCs w:val="21"/>
        </w:rPr>
        <w:t>（</w:t>
      </w:r>
      <w:r>
        <w:rPr>
          <w:rFonts w:ascii="宋体" w:hAnsi="宋体" w:hint="eastAsia"/>
          <w:szCs w:val="21"/>
        </w:rPr>
        <w:t>3</w:t>
      </w:r>
      <w:r>
        <w:rPr>
          <w:rFonts w:ascii="宋体" w:hAnsi="宋体"/>
          <w:szCs w:val="21"/>
        </w:rPr>
        <w:t>）将中标项目转让给他人</w:t>
      </w:r>
      <w:r>
        <w:rPr>
          <w:rFonts w:ascii="宋体" w:eastAsia="宋体" w:hAnsi="宋体" w:hint="eastAsia"/>
          <w:szCs w:val="21"/>
          <w:lang w:eastAsia="zh-CN"/>
        </w:rPr>
        <w:t>，或者</w:t>
      </w:r>
      <w:r>
        <w:rPr>
          <w:rFonts w:ascii="宋体" w:hAnsi="宋体"/>
          <w:szCs w:val="21"/>
        </w:rPr>
        <w:t>在投标文件中未说明且未经采购人、采购招标机构同意，将中标项目分包给他人的；</w:t>
      </w:r>
    </w:p>
    <w:p>
      <w:pPr>
        <w:ind w:firstLine="470" w:firstLineChars="196"/>
        <w:rPr>
          <w:rFonts w:ascii="宋体" w:hAnsi="宋体"/>
          <w:szCs w:val="21"/>
        </w:rPr>
      </w:pPr>
      <w:r>
        <w:rPr>
          <w:rFonts w:ascii="宋体" w:hAnsi="宋体"/>
          <w:szCs w:val="21"/>
        </w:rPr>
        <w:t>（</w:t>
      </w:r>
      <w:r>
        <w:rPr>
          <w:rFonts w:ascii="宋体" w:hAnsi="宋体" w:hint="eastAsia"/>
          <w:szCs w:val="21"/>
        </w:rPr>
        <w:t>4</w:t>
      </w:r>
      <w:r>
        <w:rPr>
          <w:rFonts w:ascii="宋体" w:hAnsi="宋体"/>
          <w:szCs w:val="21"/>
        </w:rPr>
        <w:t>）拒绝履行合同义务的</w:t>
      </w:r>
      <w:r>
        <w:rPr>
          <w:rFonts w:ascii="宋体" w:hAnsi="宋体" w:hint="eastAsia"/>
          <w:szCs w:val="21"/>
        </w:rPr>
        <w:t>。</w:t>
      </w:r>
    </w:p>
    <w:p>
      <w:pPr>
        <w:pStyle w:val="Heading2"/>
        <w:numPr>
          <w:ilvl w:val="0"/>
          <w:numId w:val="4"/>
        </w:numPr>
        <w:spacing w:before="120" w:beforeLines="50" w:after="120" w:afterLines="50"/>
        <w:ind w:left="562" w:hanging="562"/>
        <w:rPr>
          <w:sz w:val="28"/>
          <w:szCs w:val="28"/>
        </w:rPr>
      </w:pPr>
      <w:bookmarkEnd w:id="120"/>
      <w:r>
        <w:rPr>
          <w:rFonts w:hint="eastAsia"/>
          <w:sz w:val="28"/>
          <w:szCs w:val="28"/>
        </w:rPr>
        <w:t>质疑处理</w:t>
      </w:r>
    </w:p>
    <w:p>
      <w:pPr>
        <w:rPr>
          <w:rFonts w:ascii="黑体" w:eastAsia="黑体" w:hAnsi="宋体"/>
        </w:rPr>
      </w:pPr>
      <w:bookmarkStart w:id="137" w:name="_Hlk72439706"/>
      <w:r>
        <w:rPr>
          <w:rFonts w:ascii="黑体" w:eastAsia="黑体" w:hAnsi="宋体" w:hint="eastAsia"/>
        </w:rPr>
        <w:t>52.质疑提出与答复</w:t>
      </w:r>
    </w:p>
    <w:p>
      <w:pPr>
        <w:rPr>
          <w:rFonts w:ascii="宋体" w:hAnsi="宋体"/>
          <w:szCs w:val="21"/>
        </w:rPr>
      </w:pPr>
      <w:r>
        <w:rPr>
          <w:rFonts w:ascii="宋体" w:hAnsi="宋体" w:hint="eastAsia"/>
          <w:szCs w:val="21"/>
        </w:rPr>
        <w:t xml:space="preserve">    52.1提出质疑</w:t>
      </w:r>
    </w:p>
    <w:p>
      <w:pPr>
        <w:rPr>
          <w:rFonts w:ascii="宋体" w:hAnsi="宋体"/>
          <w:szCs w:val="21"/>
        </w:rPr>
      </w:pPr>
      <w:r>
        <w:rPr>
          <w:rFonts w:ascii="宋体" w:hAnsi="宋体" w:hint="eastAsia"/>
          <w:szCs w:val="21"/>
        </w:rPr>
        <w:t xml:space="preserve">    参与政府采购活动的供应商认为自己的权益在采购活动中受到损害的，应当自知道或者应当知道其权益受到损害之日起七个工作日内向采购人、采购代理机构以书面形式提出质疑。</w:t>
      </w:r>
    </w:p>
    <w:p>
      <w:pPr>
        <w:rPr>
          <w:rFonts w:ascii="宋体" w:hAnsi="宋体"/>
          <w:szCs w:val="21"/>
        </w:rPr>
      </w:pPr>
      <w:r>
        <w:rPr>
          <w:rFonts w:ascii="宋体" w:hAnsi="宋体" w:hint="eastAsia"/>
          <w:szCs w:val="21"/>
        </w:rPr>
        <w:t xml:space="preserve">    52.2</w:t>
      </w:r>
      <w:r>
        <w:rPr>
          <w:rFonts w:ascii="宋体" w:hAnsi="宋体"/>
          <w:szCs w:val="21"/>
        </w:rPr>
        <w:t>法律依据</w:t>
      </w:r>
    </w:p>
    <w:p>
      <w:pPr>
        <w:rPr>
          <w:rFonts w:ascii="宋体" w:hAnsi="宋体"/>
          <w:szCs w:val="21"/>
        </w:rPr>
      </w:pPr>
      <w:r>
        <w:rPr>
          <w:rFonts w:ascii="宋体" w:hAnsi="宋体" w:hint="eastAsia"/>
          <w:szCs w:val="21"/>
        </w:rPr>
        <w:t xml:space="preserve">    《中华人民共和国政府采购法</w:t>
      </w:r>
      <w:r>
        <w:rPr>
          <w:rFonts w:ascii="宋体" w:eastAsia="宋体" w:hAnsi="宋体" w:hint="eastAsia"/>
          <w:szCs w:val="21"/>
          <w:lang w:eastAsia="zh-CN"/>
        </w:rPr>
        <w:t>》《</w:t>
      </w:r>
      <w:r>
        <w:rPr>
          <w:rFonts w:ascii="宋体" w:hAnsi="宋体" w:hint="eastAsia"/>
          <w:szCs w:val="21"/>
        </w:rPr>
        <w:t>中华人民共和国政府采购法实施条例</w:t>
      </w:r>
      <w:r>
        <w:rPr>
          <w:rFonts w:ascii="宋体" w:eastAsia="宋体" w:hAnsi="宋体" w:hint="eastAsia"/>
          <w:szCs w:val="21"/>
          <w:lang w:eastAsia="zh-CN"/>
        </w:rPr>
        <w:t>》《</w:t>
      </w:r>
      <w:r>
        <w:rPr>
          <w:rFonts w:ascii="宋体" w:hAnsi="宋体" w:hint="eastAsia"/>
          <w:szCs w:val="21"/>
        </w:rPr>
        <w:t>深圳经济特区政府采购</w:t>
      </w:r>
      <w:r>
        <w:rPr>
          <w:rFonts w:ascii="宋体" w:hAnsi="宋体"/>
          <w:szCs w:val="21"/>
        </w:rPr>
        <w:t>条例</w:t>
      </w:r>
      <w:r>
        <w:rPr>
          <w:rFonts w:ascii="宋体" w:eastAsia="宋体" w:hAnsi="宋体" w:hint="eastAsia"/>
          <w:szCs w:val="21"/>
          <w:lang w:eastAsia="zh-CN"/>
        </w:rPr>
        <w:t>》《</w:t>
      </w:r>
      <w:r>
        <w:rPr>
          <w:rFonts w:ascii="宋体" w:hAnsi="宋体" w:hint="eastAsia"/>
          <w:szCs w:val="21"/>
        </w:rPr>
        <w:t>深圳经济特区政府采购条例实施细则</w:t>
      </w:r>
      <w:r>
        <w:rPr>
          <w:rFonts w:ascii="宋体" w:eastAsia="宋体" w:hAnsi="宋体" w:hint="eastAsia"/>
          <w:szCs w:val="21"/>
          <w:lang w:eastAsia="zh-CN"/>
        </w:rPr>
        <w:t>》《</w:t>
      </w:r>
      <w:r>
        <w:rPr>
          <w:rFonts w:ascii="宋体" w:hAnsi="宋体" w:hint="eastAsia"/>
          <w:szCs w:val="21"/>
        </w:rPr>
        <w:t>政府采购质疑和投诉办法》（财政部令第94号）和其他有关法律法规规定。</w:t>
      </w:r>
    </w:p>
    <w:p>
      <w:pPr>
        <w:rPr>
          <w:rFonts w:ascii="宋体" w:hAnsi="宋体"/>
          <w:szCs w:val="21"/>
        </w:rPr>
      </w:pPr>
      <w:r>
        <w:rPr>
          <w:rFonts w:ascii="宋体" w:hAnsi="宋体" w:hint="eastAsia"/>
          <w:szCs w:val="21"/>
        </w:rPr>
        <w:t>52.3质疑条件</w:t>
      </w:r>
    </w:p>
    <w:p>
      <w:pPr>
        <w:rPr>
          <w:rFonts w:ascii="宋体" w:hAnsi="宋体"/>
          <w:szCs w:val="21"/>
        </w:rPr>
      </w:pPr>
      <w:r>
        <w:rPr>
          <w:rFonts w:ascii="宋体" w:hAnsi="宋体" w:hint="eastAsia"/>
          <w:szCs w:val="21"/>
        </w:rPr>
        <w:t xml:space="preserve">    52.3.1提出质疑的供应商应当是参与所质疑项目采购活动的供应商；</w:t>
      </w:r>
      <w:bookmarkStart w:id="138" w:name="_Hlk75374941"/>
      <w:r>
        <w:rPr>
          <w:rFonts w:ascii="宋体" w:hAnsi="宋体" w:hint="eastAsia"/>
          <w:szCs w:val="21"/>
        </w:rPr>
        <w:t>以联合体形式参与的，质疑应当由组成联合体的所有成员共同提出</w:t>
      </w:r>
      <w:bookmarkEnd w:id="138"/>
      <w:r>
        <w:rPr>
          <w:rFonts w:ascii="宋体" w:hAnsi="宋体" w:hint="eastAsia"/>
          <w:szCs w:val="21"/>
        </w:rPr>
        <w:t>；</w:t>
      </w:r>
    </w:p>
    <w:p>
      <w:pPr>
        <w:rPr>
          <w:rFonts w:ascii="宋体" w:hAnsi="宋体"/>
          <w:szCs w:val="21"/>
        </w:rPr>
      </w:pPr>
      <w:r>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hAnsi="宋体"/>
          <w:szCs w:val="21"/>
        </w:rPr>
      </w:pPr>
      <w:r>
        <w:rPr>
          <w:rFonts w:ascii="宋体" w:hAnsi="宋体" w:hint="eastAsia"/>
          <w:szCs w:val="21"/>
        </w:rPr>
        <w:t>52.3.3应提交书面质疑函，质疑函应当包括以下内容：</w:t>
      </w:r>
    </w:p>
    <w:p>
      <w:pPr>
        <w:ind w:firstLine="420"/>
        <w:rPr>
          <w:rFonts w:ascii="宋体" w:hAnsi="宋体"/>
          <w:szCs w:val="21"/>
        </w:rPr>
      </w:pPr>
      <w:r>
        <w:rPr>
          <w:rFonts w:ascii="宋体" w:hAnsi="宋体" w:hint="eastAsia"/>
          <w:szCs w:val="21"/>
        </w:rPr>
        <w:t>（1）供应商的名称（或者姓名）、地址、邮编、邮箱、联系人及联系电话；</w:t>
      </w:r>
    </w:p>
    <w:p>
      <w:pPr>
        <w:ind w:firstLine="480" w:firstLineChars="200"/>
        <w:rPr>
          <w:rFonts w:ascii="宋体" w:hAnsi="宋体"/>
          <w:szCs w:val="21"/>
        </w:rPr>
      </w:pPr>
      <w:r>
        <w:rPr>
          <w:rFonts w:ascii="宋体" w:hAnsi="宋体" w:hint="eastAsia"/>
          <w:szCs w:val="21"/>
        </w:rPr>
        <w:t>（2）质疑项目的名称、编号；</w:t>
      </w:r>
    </w:p>
    <w:p>
      <w:pPr>
        <w:ind w:firstLine="480" w:firstLineChars="200"/>
        <w:rPr>
          <w:rFonts w:ascii="宋体" w:hAnsi="宋体"/>
          <w:szCs w:val="21"/>
        </w:rPr>
      </w:pPr>
      <w:r>
        <w:rPr>
          <w:rFonts w:ascii="宋体" w:hAnsi="宋体" w:hint="eastAsia"/>
          <w:szCs w:val="21"/>
        </w:rPr>
        <w:t>（3）具体、明确的质疑对象、质疑事项和质疑请求；</w:t>
      </w:r>
    </w:p>
    <w:p>
      <w:pPr>
        <w:ind w:firstLine="480" w:firstLineChars="200"/>
        <w:rPr>
          <w:rFonts w:ascii="宋体" w:hAnsi="宋体"/>
          <w:szCs w:val="21"/>
        </w:rPr>
      </w:pPr>
      <w:r>
        <w:rPr>
          <w:rFonts w:ascii="宋体" w:hAnsi="宋体" w:hint="eastAsia"/>
          <w:szCs w:val="21"/>
        </w:rPr>
        <w:t>（4）因质疑事项而受损害的权益；</w:t>
      </w:r>
    </w:p>
    <w:p>
      <w:pPr>
        <w:ind w:firstLine="480" w:firstLineChars="200"/>
        <w:rPr>
          <w:rFonts w:ascii="宋体" w:hAnsi="宋体"/>
          <w:szCs w:val="21"/>
        </w:rPr>
      </w:pPr>
      <w:r>
        <w:rPr>
          <w:rFonts w:ascii="宋体" w:hAnsi="宋体" w:hint="eastAsia"/>
          <w:szCs w:val="21"/>
        </w:rPr>
        <w:t>（5）事实依据；</w:t>
      </w:r>
    </w:p>
    <w:p>
      <w:pPr>
        <w:ind w:firstLine="480" w:firstLineChars="200"/>
        <w:rPr>
          <w:rFonts w:ascii="宋体" w:hAnsi="宋体"/>
          <w:szCs w:val="21"/>
        </w:rPr>
      </w:pPr>
      <w:r>
        <w:rPr>
          <w:rFonts w:ascii="宋体" w:hAnsi="宋体" w:hint="eastAsia"/>
          <w:szCs w:val="21"/>
        </w:rPr>
        <w:t>（6）必要的法律依据；</w:t>
      </w:r>
    </w:p>
    <w:p>
      <w:pPr>
        <w:ind w:firstLine="480" w:firstLineChars="200"/>
        <w:rPr>
          <w:rFonts w:ascii="宋体" w:hAnsi="宋体"/>
          <w:szCs w:val="21"/>
        </w:rPr>
      </w:pPr>
      <w:r>
        <w:rPr>
          <w:rFonts w:ascii="宋体" w:hAnsi="宋体" w:hint="eastAsia"/>
          <w:szCs w:val="21"/>
        </w:rPr>
        <w:t>（7）提出质疑的日期。</w:t>
      </w:r>
    </w:p>
    <w:p>
      <w:pPr>
        <w:ind w:firstLine="480" w:firstLineChars="200"/>
        <w:rPr>
          <w:rFonts w:ascii="宋体" w:hAnsi="宋体"/>
          <w:szCs w:val="21"/>
        </w:rPr>
      </w:pPr>
      <w:r>
        <w:rPr>
          <w:rFonts w:ascii="宋体" w:hAnsi="宋体" w:hint="eastAsia"/>
          <w:szCs w:val="21"/>
        </w:rPr>
        <w:t>供应商为自然人的，应当由本人签字；供应商为法人或者其他组织的，应当由法定代表人（负责人），或者其授权代理人签字或者盖章，并加盖公章。</w:t>
      </w:r>
    </w:p>
    <w:p>
      <w:pPr>
        <w:ind w:firstLine="480" w:firstLineChars="200"/>
        <w:rPr>
          <w:rFonts w:ascii="宋体" w:hAnsi="宋体"/>
          <w:szCs w:val="21"/>
        </w:rPr>
      </w:pPr>
      <w:r>
        <w:rPr>
          <w:rFonts w:ascii="宋体" w:hAnsi="宋体" w:hint="eastAsia"/>
          <w:szCs w:val="21"/>
        </w:rPr>
        <w:t>52.4提交</w:t>
      </w:r>
      <w:r>
        <w:rPr>
          <w:rFonts w:ascii="宋体" w:hAnsi="宋体"/>
          <w:szCs w:val="21"/>
        </w:rPr>
        <w:t>材料</w:t>
      </w:r>
    </w:p>
    <w:p>
      <w:pPr>
        <w:ind w:firstLine="480" w:firstLineChars="200"/>
        <w:rPr>
          <w:rFonts w:ascii="宋体" w:hAnsi="宋体"/>
          <w:szCs w:val="21"/>
        </w:rPr>
      </w:pPr>
      <w:r>
        <w:rPr>
          <w:rFonts w:ascii="宋体" w:hAnsi="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hAnsi="宋体"/>
          <w:szCs w:val="21"/>
        </w:rPr>
      </w:pPr>
      <w:r>
        <w:rPr>
          <w:rFonts w:ascii="宋体" w:hAnsi="宋体" w:hint="eastAsia"/>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hAnsi="宋体"/>
          <w:szCs w:val="21"/>
        </w:rPr>
      </w:pPr>
      <w:r>
        <w:rPr>
          <w:rFonts w:ascii="宋体" w:hAnsi="宋体" w:hint="eastAsia"/>
          <w:szCs w:val="21"/>
        </w:rPr>
        <w:t>52.5提交方式</w:t>
      </w:r>
    </w:p>
    <w:p>
      <w:pPr>
        <w:ind w:firstLine="420"/>
        <w:rPr>
          <w:rFonts w:ascii="宋体" w:hAnsi="宋体"/>
          <w:szCs w:val="21"/>
        </w:rPr>
      </w:pPr>
      <w:r>
        <w:rPr>
          <w:rFonts w:ascii="宋体" w:hAnsi="宋体" w:hint="eastAsia"/>
          <w:szCs w:val="21"/>
        </w:rPr>
        <w:t>5</w:t>
      </w:r>
      <w:r>
        <w:rPr>
          <w:rFonts w:ascii="宋体" w:hAnsi="宋体"/>
          <w:szCs w:val="21"/>
        </w:rPr>
        <w:t>2.5.1</w:t>
      </w:r>
      <w:r>
        <w:rPr>
          <w:rFonts w:ascii="宋体" w:hAnsi="宋体" w:hint="eastAsia"/>
          <w:szCs w:val="21"/>
        </w:rPr>
        <w:t>供应商登录“深圳政府采购智慧平台用户网上办事子系统（http://zfcg.szggzy.com/TPBidder/memberLogin）”，在“【我的项目】→【项目流程】→【质疑】”中提出质疑。</w:t>
      </w:r>
    </w:p>
    <w:p>
      <w:pPr>
        <w:ind w:firstLine="480" w:firstLineChars="200"/>
        <w:rPr>
          <w:rFonts w:ascii="宋体" w:hAnsi="宋体"/>
          <w:b/>
          <w:bCs/>
          <w:szCs w:val="21"/>
        </w:rPr>
      </w:pPr>
      <w:r>
        <w:rPr>
          <w:rFonts w:ascii="宋体" w:hAnsi="宋体" w:hint="eastAsia"/>
          <w:szCs w:val="21"/>
        </w:rPr>
        <w:t>5</w:t>
      </w:r>
      <w:r>
        <w:rPr>
          <w:rFonts w:ascii="宋体" w:hAnsi="宋体"/>
          <w:szCs w:val="21"/>
        </w:rPr>
        <w:t>2.5.2</w:t>
      </w:r>
      <w:r>
        <w:rPr>
          <w:rFonts w:ascii="宋体" w:hAnsi="宋体" w:hint="eastAsia"/>
          <w:szCs w:val="21"/>
        </w:rPr>
        <w:t>请质疑供应商根据深圳政府采购智慧平台（http://zfcg.szggzy.com/）所发布的质疑指引、质疑函模板填写质疑函并提交质疑材料。</w:t>
      </w:r>
      <w:r>
        <w:rPr>
          <w:rFonts w:ascii="宋体" w:hAnsi="宋体" w:hint="eastAsia"/>
          <w:b/>
          <w:bCs/>
          <w:szCs w:val="21"/>
        </w:rPr>
        <w:t>地址：正采（深圳）招标代理有限公司　深圳市龙岗区龙岗街道平南社区龙岗大道（龙岗段）4001号万汇大厦901，质疑咨询电话：0755-28996869。</w:t>
      </w:r>
    </w:p>
    <w:p>
      <w:pPr>
        <w:ind w:firstLine="480" w:firstLineChars="200"/>
        <w:rPr>
          <w:rFonts w:ascii="宋体" w:hAnsi="宋体"/>
          <w:szCs w:val="21"/>
        </w:rPr>
      </w:pPr>
      <w:r>
        <w:rPr>
          <w:rFonts w:ascii="宋体" w:hAnsi="宋体" w:hint="eastAsia"/>
          <w:szCs w:val="21"/>
        </w:rPr>
        <w:t>52.6收文办理</w:t>
      </w:r>
      <w:r>
        <w:rPr>
          <w:rFonts w:ascii="宋体" w:hAnsi="宋体"/>
          <w:szCs w:val="21"/>
        </w:rPr>
        <w:t>程序</w:t>
      </w:r>
    </w:p>
    <w:p>
      <w:pPr>
        <w:ind w:firstLine="480" w:firstLineChars="200"/>
        <w:rPr>
          <w:rFonts w:ascii="宋体" w:hAnsi="宋体"/>
          <w:szCs w:val="21"/>
        </w:rPr>
      </w:pPr>
      <w:r>
        <w:rPr>
          <w:rFonts w:ascii="宋体" w:hAnsi="宋体" w:hint="eastAsia"/>
          <w:szCs w:val="21"/>
        </w:rPr>
        <w:t>52.6.1供应商提交的质疑符合受理条件的，采购代理机构自收到质疑材料之日起即为受理，应当向供应商出具质疑函收文回执并可以要求其递交质疑的法定代表人（负责人）或者授权代理人签署质疑文书送达地址确认书。</w:t>
      </w:r>
    </w:p>
    <w:p>
      <w:pPr>
        <w:ind w:firstLine="480" w:firstLineChars="200"/>
        <w:rPr>
          <w:rFonts w:ascii="仿宋" w:eastAsia="仿宋" w:hAnsi="仿宋"/>
          <w:sz w:val="28"/>
          <w:szCs w:val="28"/>
        </w:rPr>
      </w:pPr>
      <w:r>
        <w:rPr>
          <w:rFonts w:ascii="宋体" w:hAnsi="宋体" w:hint="eastAsia"/>
          <w:szCs w:val="21"/>
        </w:rPr>
        <w:t>52.6.2供应商提交的质疑材料不符合质疑条件的，视情况处理：</w:t>
      </w:r>
    </w:p>
    <w:p>
      <w:pPr>
        <w:ind w:firstLine="480" w:firstLineChars="200"/>
        <w:rPr>
          <w:rFonts w:ascii="宋体" w:hAnsi="宋体"/>
          <w:szCs w:val="21"/>
        </w:rPr>
      </w:pPr>
      <w:r>
        <w:rPr>
          <w:rFonts w:ascii="宋体" w:hAnsi="宋体" w:hint="eastAsia"/>
          <w:szCs w:val="21"/>
        </w:rPr>
        <w:t>供应商提交的质疑材料不全或者未按要求签字或者盖章的，采购代理机构应当一次性告知供应商需补正的内容和补正期限。</w:t>
      </w:r>
    </w:p>
    <w:p>
      <w:pPr>
        <w:ind w:firstLine="480" w:firstLineChars="200"/>
        <w:rPr>
          <w:rFonts w:ascii="宋体" w:hAnsi="宋体"/>
          <w:szCs w:val="21"/>
        </w:rPr>
      </w:pPr>
      <w:r>
        <w:rPr>
          <w:rFonts w:ascii="宋体" w:hAnsi="宋体" w:hint="eastAsia"/>
          <w:szCs w:val="21"/>
        </w:rPr>
        <w:t>供应商提交的质疑存在下列情形之一的，不予受理：</w:t>
      </w:r>
    </w:p>
    <w:p>
      <w:pPr>
        <w:ind w:firstLine="480" w:firstLineChars="200"/>
        <w:rPr>
          <w:rFonts w:ascii="宋体" w:hAnsi="宋体"/>
          <w:szCs w:val="21"/>
        </w:rPr>
      </w:pPr>
      <w:r>
        <w:rPr>
          <w:rFonts w:ascii="宋体" w:hAnsi="宋体" w:hint="eastAsia"/>
          <w:szCs w:val="21"/>
        </w:rPr>
        <w:t>（1）质疑主体不满足要求的；</w:t>
      </w:r>
    </w:p>
    <w:p>
      <w:pPr>
        <w:ind w:firstLine="480" w:firstLineChars="200"/>
        <w:rPr>
          <w:rFonts w:ascii="宋体" w:hAnsi="宋体"/>
          <w:szCs w:val="21"/>
        </w:rPr>
      </w:pPr>
      <w:r>
        <w:rPr>
          <w:rFonts w:ascii="宋体" w:hAnsi="宋体" w:hint="eastAsia"/>
          <w:szCs w:val="21"/>
        </w:rPr>
        <w:t>（2）供应商自身权益未受到损害的；</w:t>
      </w:r>
    </w:p>
    <w:p>
      <w:pPr>
        <w:ind w:firstLine="480" w:firstLineChars="200"/>
        <w:rPr>
          <w:rFonts w:ascii="宋体" w:hAnsi="宋体"/>
          <w:szCs w:val="21"/>
        </w:rPr>
      </w:pPr>
      <w:r>
        <w:rPr>
          <w:rFonts w:ascii="宋体" w:hAnsi="宋体" w:hint="eastAsia"/>
          <w:szCs w:val="21"/>
        </w:rPr>
        <w:t>（3）供应商未在法定质疑期限内提出质疑的；</w:t>
      </w:r>
    </w:p>
    <w:p>
      <w:pPr>
        <w:ind w:firstLine="480" w:firstLineChars="200"/>
        <w:rPr>
          <w:rFonts w:ascii="宋体" w:hAnsi="宋体"/>
          <w:szCs w:val="21"/>
        </w:rPr>
      </w:pPr>
      <w:r>
        <w:rPr>
          <w:rFonts w:ascii="宋体" w:hAnsi="宋体" w:hint="eastAsia"/>
          <w:szCs w:val="21"/>
        </w:rPr>
        <w:t>（4）质疑材料不全或者未按要求签字或者盖章的情况下，要求补正后，逾期未补正或者补正后仍不符合规定的；</w:t>
      </w:r>
    </w:p>
    <w:p>
      <w:pPr>
        <w:ind w:firstLine="480" w:firstLineChars="200"/>
        <w:rPr>
          <w:rFonts w:ascii="宋体" w:hAnsi="宋体"/>
          <w:szCs w:val="21"/>
        </w:rPr>
      </w:pPr>
      <w:r>
        <w:rPr>
          <w:rFonts w:ascii="宋体" w:hAnsi="宋体" w:hint="eastAsia"/>
          <w:szCs w:val="21"/>
        </w:rPr>
        <w:t>（5）其他不符合受理条件情形的。</w:t>
      </w:r>
    </w:p>
    <w:p>
      <w:pPr>
        <w:ind w:firstLine="480" w:firstLineChars="200"/>
        <w:rPr>
          <w:rFonts w:ascii="宋体" w:hAnsi="宋体"/>
          <w:szCs w:val="21"/>
        </w:rPr>
      </w:pPr>
      <w:r>
        <w:rPr>
          <w:rFonts w:ascii="宋体" w:hAnsi="宋体" w:hint="eastAsia"/>
          <w:szCs w:val="21"/>
        </w:rPr>
        <w:t>质疑事项不予受理的，采购代理机构应当向供应商出具不符合质疑条件告知书。</w:t>
      </w:r>
    </w:p>
    <w:p>
      <w:pPr>
        <w:rPr>
          <w:rFonts w:ascii="宋体" w:hAnsi="宋体"/>
          <w:szCs w:val="21"/>
        </w:rPr>
      </w:pPr>
      <w:r>
        <w:rPr>
          <w:rFonts w:ascii="宋体" w:hAnsi="宋体" w:hint="eastAsia"/>
          <w:szCs w:val="21"/>
        </w:rPr>
        <w:t xml:space="preserve">  52.7质疑答复时限</w:t>
      </w:r>
    </w:p>
    <w:p>
      <w:pPr>
        <w:rPr>
          <w:rFonts w:ascii="宋体" w:hAnsi="宋体"/>
          <w:szCs w:val="21"/>
        </w:rPr>
      </w:pPr>
      <w:r>
        <w:rPr>
          <w:rFonts w:ascii="宋体" w:hAnsi="宋体" w:hint="eastAsia"/>
          <w:szCs w:val="21"/>
        </w:rPr>
        <w:t xml:space="preserve">    自收文之日起七个工作日内。</w:t>
      </w:r>
    </w:p>
    <w:p>
      <w:pPr>
        <w:rPr>
          <w:rFonts w:ascii="宋体" w:hAnsi="宋体"/>
          <w:szCs w:val="21"/>
        </w:rPr>
      </w:pPr>
      <w:r>
        <w:rPr>
          <w:rFonts w:ascii="宋体" w:hAnsi="宋体" w:hint="eastAsia"/>
          <w:szCs w:val="21"/>
        </w:rPr>
        <w:t xml:space="preserve">    52.8投诉</w:t>
      </w:r>
    </w:p>
    <w:p>
      <w:pPr>
        <w:rPr>
          <w:rFonts w:ascii="宋体" w:hAnsi="宋体"/>
          <w:szCs w:val="21"/>
        </w:rPr>
      </w:pPr>
      <w:r>
        <w:rPr>
          <w:rFonts w:ascii="宋体" w:hAnsi="宋体" w:hint="eastAsia"/>
          <w:szCs w:val="21"/>
        </w:rPr>
        <w:t xml:space="preserve">    对质疑答复不满意或者未在规定时间内答复的，提出质疑的供应商可以在答复期满后15个工作日内向同级财政部门投诉。</w:t>
      </w:r>
    </w:p>
    <w:p>
      <w:pPr>
        <w:rPr>
          <w:rFonts w:ascii="黑体" w:eastAsia="黑体" w:hAnsi="宋体"/>
        </w:rPr>
      </w:pPr>
      <w:r>
        <w:rPr>
          <w:rFonts w:ascii="黑体" w:eastAsia="黑体" w:hAnsi="宋体" w:hint="eastAsia"/>
        </w:rPr>
        <w:t>53. 质疑后续处理</w:t>
      </w:r>
    </w:p>
    <w:p>
      <w:pPr>
        <w:rPr>
          <w:rFonts w:ascii="宋体" w:hAnsi="宋体"/>
          <w:szCs w:val="21"/>
        </w:rPr>
      </w:pPr>
      <w:r>
        <w:rPr>
          <w:rFonts w:ascii="宋体" w:hAnsi="宋体" w:hint="eastAsia"/>
          <w:szCs w:val="21"/>
        </w:rPr>
        <w:t xml:space="preserve">    53.1供应商质疑不成立，或者成立但未对中标、成交结果构成影响的，继续开展采购活动。</w:t>
      </w:r>
    </w:p>
    <w:p>
      <w:pPr>
        <w:ind w:firstLine="420"/>
        <w:rPr>
          <w:rFonts w:ascii="宋体" w:hAnsi="宋体"/>
          <w:szCs w:val="21"/>
        </w:rPr>
      </w:pPr>
      <w:r>
        <w:rPr>
          <w:rFonts w:ascii="宋体" w:hAnsi="宋体" w:hint="eastAsia"/>
          <w:szCs w:val="21"/>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pStyle w:val="BodyText"/>
      </w:pPr>
    </w:p>
    <w:p>
      <w:pPr>
        <w:pStyle w:val="Heading2"/>
        <w:numPr>
          <w:ilvl w:val="0"/>
          <w:numId w:val="4"/>
        </w:numPr>
        <w:spacing w:before="120" w:beforeLines="50" w:after="120" w:afterLines="50"/>
        <w:ind w:left="562" w:hanging="562"/>
        <w:rPr>
          <w:sz w:val="28"/>
          <w:szCs w:val="28"/>
        </w:rPr>
      </w:pPr>
      <w:bookmarkStart w:id="139" w:name="_Toc10615"/>
      <w:r>
        <w:rPr>
          <w:rFonts w:hint="eastAsia"/>
          <w:sz w:val="28"/>
          <w:szCs w:val="28"/>
        </w:rPr>
        <w:t>中标服务费</w:t>
      </w:r>
      <w:bookmarkEnd w:id="139"/>
    </w:p>
    <w:p>
      <w:pPr>
        <w:rPr>
          <w:rFonts w:ascii="黑体" w:eastAsia="黑体" w:hAnsi="宋体"/>
        </w:rPr>
      </w:pPr>
      <w:r>
        <w:rPr>
          <w:rFonts w:ascii="黑体" w:eastAsia="黑体" w:hAnsi="宋体" w:hint="eastAsia"/>
        </w:rPr>
        <w:t>54. 中标服务费</w:t>
      </w:r>
    </w:p>
    <w:p>
      <w:pPr>
        <w:ind w:firstLine="480" w:firstLineChars="200"/>
        <w:rPr>
          <w:rFonts w:ascii="宋体" w:eastAsia="宋体" w:hAnsi="宋体" w:cs="宋体"/>
          <w:szCs w:val="21"/>
        </w:rPr>
      </w:pPr>
      <w:r>
        <w:rPr>
          <w:rFonts w:ascii="宋体" w:eastAsia="宋体" w:hAnsi="宋体" w:cs="宋体" w:hint="eastAsia"/>
          <w:szCs w:val="21"/>
        </w:rPr>
        <w:t>中标人收到收费通知后，须在三个工作日内向正采（深圳）招标代理有限公司交纳代理服务费。若因中标供应商交纳代理服务费所产生的时间影响到合同签订的，由中标供应商自行承担责任。代理服务费标准参照深财购〔2018〕27号文所列标准收取，按差额定率累进法计算收取，收费标准如下表所列：</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27"/>
        <w:gridCol w:w="2172"/>
        <w:gridCol w:w="1991"/>
        <w:gridCol w:w="186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73"/>
          <w:jc w:val="center"/>
        </w:trPr>
        <w:tc>
          <w:tcPr>
            <w:tcW w:w="2027" w:type="dxa"/>
            <w:vAlign w:val="center"/>
          </w:tcPr>
          <w:p>
            <w:pPr>
              <w:tabs>
                <w:tab w:val="left" w:pos="540"/>
              </w:tabs>
              <w:autoSpaceDE w:val="0"/>
              <w:autoSpaceDN w:val="0"/>
              <w:spacing w:line="360" w:lineRule="auto"/>
              <w:ind w:right="18"/>
              <w:textAlignment w:val="bottom"/>
              <w:rPr>
                <w:rFonts w:ascii="宋体" w:hAnsi="宋体"/>
                <w:szCs w:val="21"/>
              </w:rPr>
            </w:pPr>
            <w:r>
              <w:rPr>
                <w:rFonts w:ascii="宋体" w:hAnsi="宋体"/>
                <w:szCs w:val="21"/>
              </w:rPr>
              <w:t>中标金额（万元）</w:t>
            </w:r>
          </w:p>
        </w:tc>
        <w:tc>
          <w:tcPr>
            <w:tcW w:w="2172"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货物</w:t>
            </w:r>
            <w:r>
              <w:rPr>
                <w:rFonts w:ascii="宋体" w:hAnsi="宋体" w:hint="eastAsia"/>
                <w:szCs w:val="21"/>
              </w:rPr>
              <w:t>采购</w:t>
            </w:r>
          </w:p>
        </w:tc>
        <w:tc>
          <w:tcPr>
            <w:tcW w:w="1991"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服务</w:t>
            </w:r>
            <w:r>
              <w:rPr>
                <w:rFonts w:ascii="宋体" w:hAnsi="宋体" w:hint="eastAsia"/>
                <w:szCs w:val="21"/>
              </w:rPr>
              <w:t>采购</w:t>
            </w:r>
          </w:p>
        </w:tc>
        <w:tc>
          <w:tcPr>
            <w:tcW w:w="1860"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工程</w:t>
            </w:r>
            <w:r>
              <w:rPr>
                <w:rFonts w:ascii="宋体" w:hAnsi="宋体" w:hint="eastAsia"/>
                <w:szCs w:val="21"/>
              </w:rPr>
              <w:t>采购</w:t>
            </w:r>
          </w:p>
        </w:tc>
      </w:tr>
      <w:tr>
        <w:tblPrEx>
          <w:tblW w:w="0" w:type="auto"/>
          <w:jc w:val="center"/>
          <w:tblLayout w:type="fixed"/>
          <w:tblCellMar>
            <w:top w:w="0" w:type="dxa"/>
            <w:left w:w="108" w:type="dxa"/>
            <w:bottom w:w="0" w:type="dxa"/>
            <w:right w:w="108" w:type="dxa"/>
          </w:tblCellMar>
        </w:tblPrEx>
        <w:trPr>
          <w:trHeight w:val="367"/>
          <w:jc w:val="center"/>
        </w:trPr>
        <w:tc>
          <w:tcPr>
            <w:tcW w:w="2027"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100以下</w:t>
            </w:r>
          </w:p>
        </w:tc>
        <w:tc>
          <w:tcPr>
            <w:tcW w:w="2172"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1.50%</w:t>
            </w:r>
          </w:p>
        </w:tc>
        <w:tc>
          <w:tcPr>
            <w:tcW w:w="1991"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1.50%</w:t>
            </w:r>
          </w:p>
        </w:tc>
        <w:tc>
          <w:tcPr>
            <w:tcW w:w="1860"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1.00%</w:t>
            </w:r>
          </w:p>
        </w:tc>
      </w:tr>
      <w:tr>
        <w:tblPrEx>
          <w:tblW w:w="0" w:type="auto"/>
          <w:jc w:val="center"/>
          <w:tblLayout w:type="fixed"/>
          <w:tblCellMar>
            <w:top w:w="0" w:type="dxa"/>
            <w:left w:w="108" w:type="dxa"/>
            <w:bottom w:w="0" w:type="dxa"/>
            <w:right w:w="108" w:type="dxa"/>
          </w:tblCellMar>
        </w:tblPrEx>
        <w:trPr>
          <w:trHeight w:val="373"/>
          <w:jc w:val="center"/>
        </w:trPr>
        <w:tc>
          <w:tcPr>
            <w:tcW w:w="2027"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100-500</w:t>
            </w:r>
          </w:p>
        </w:tc>
        <w:tc>
          <w:tcPr>
            <w:tcW w:w="2172"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1.10%</w:t>
            </w:r>
          </w:p>
        </w:tc>
        <w:tc>
          <w:tcPr>
            <w:tcW w:w="1991"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0.80%</w:t>
            </w:r>
          </w:p>
        </w:tc>
        <w:tc>
          <w:tcPr>
            <w:tcW w:w="1860"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0.70%</w:t>
            </w:r>
          </w:p>
        </w:tc>
      </w:tr>
      <w:tr>
        <w:tblPrEx>
          <w:tblW w:w="0" w:type="auto"/>
          <w:jc w:val="center"/>
          <w:tblLayout w:type="fixed"/>
          <w:tblCellMar>
            <w:top w:w="0" w:type="dxa"/>
            <w:left w:w="108" w:type="dxa"/>
            <w:bottom w:w="0" w:type="dxa"/>
            <w:right w:w="108" w:type="dxa"/>
          </w:tblCellMar>
        </w:tblPrEx>
        <w:trPr>
          <w:trHeight w:val="373"/>
          <w:jc w:val="center"/>
        </w:trPr>
        <w:tc>
          <w:tcPr>
            <w:tcW w:w="2027"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500-1000</w:t>
            </w:r>
          </w:p>
        </w:tc>
        <w:tc>
          <w:tcPr>
            <w:tcW w:w="2172"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0.80%</w:t>
            </w:r>
          </w:p>
        </w:tc>
        <w:tc>
          <w:tcPr>
            <w:tcW w:w="1991"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0.45%</w:t>
            </w:r>
          </w:p>
        </w:tc>
        <w:tc>
          <w:tcPr>
            <w:tcW w:w="1860"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0.55%</w:t>
            </w:r>
          </w:p>
        </w:tc>
      </w:tr>
      <w:tr>
        <w:tblPrEx>
          <w:tblW w:w="0" w:type="auto"/>
          <w:jc w:val="center"/>
          <w:tblLayout w:type="fixed"/>
          <w:tblCellMar>
            <w:top w:w="0" w:type="dxa"/>
            <w:left w:w="108" w:type="dxa"/>
            <w:bottom w:w="0" w:type="dxa"/>
            <w:right w:w="108" w:type="dxa"/>
          </w:tblCellMar>
        </w:tblPrEx>
        <w:trPr>
          <w:trHeight w:val="373"/>
          <w:jc w:val="center"/>
        </w:trPr>
        <w:tc>
          <w:tcPr>
            <w:tcW w:w="2027"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1000-5000</w:t>
            </w:r>
          </w:p>
        </w:tc>
        <w:tc>
          <w:tcPr>
            <w:tcW w:w="2172"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0.50%</w:t>
            </w:r>
          </w:p>
        </w:tc>
        <w:tc>
          <w:tcPr>
            <w:tcW w:w="1991"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0.25%</w:t>
            </w:r>
          </w:p>
        </w:tc>
        <w:tc>
          <w:tcPr>
            <w:tcW w:w="1860" w:type="dxa"/>
            <w:vAlign w:val="center"/>
          </w:tcPr>
          <w:p>
            <w:pPr>
              <w:tabs>
                <w:tab w:val="left" w:pos="540"/>
              </w:tabs>
              <w:autoSpaceDE w:val="0"/>
              <w:autoSpaceDN w:val="0"/>
              <w:spacing w:line="360" w:lineRule="auto"/>
              <w:ind w:left="420" w:right="18"/>
              <w:textAlignment w:val="bottom"/>
              <w:rPr>
                <w:rFonts w:ascii="宋体" w:hAnsi="宋体"/>
                <w:szCs w:val="21"/>
              </w:rPr>
            </w:pPr>
            <w:r>
              <w:rPr>
                <w:rFonts w:ascii="宋体" w:hAnsi="宋体"/>
                <w:szCs w:val="21"/>
              </w:rPr>
              <w:t>0.35%</w:t>
            </w:r>
          </w:p>
        </w:tc>
      </w:tr>
    </w:tbl>
    <w:p>
      <w:pPr>
        <w:ind w:firstLine="480" w:firstLineChars="200"/>
        <w:rPr>
          <w:rFonts w:ascii="宋体" w:eastAsia="宋体" w:hAnsi="宋体" w:cs="宋体"/>
          <w:b/>
          <w:bCs/>
          <w:szCs w:val="21"/>
        </w:rPr>
      </w:pPr>
    </w:p>
    <w:p>
      <w:pPr>
        <w:ind w:firstLine="480" w:firstLineChars="200"/>
        <w:rPr>
          <w:rFonts w:ascii="宋体" w:eastAsia="宋体" w:hAnsi="宋体" w:cs="宋体"/>
          <w:szCs w:val="21"/>
        </w:rPr>
      </w:pPr>
      <w:r>
        <w:rPr>
          <w:rFonts w:ascii="宋体" w:eastAsia="宋体" w:hAnsi="宋体" w:cs="宋体" w:hint="eastAsia"/>
          <w:szCs w:val="21"/>
        </w:rPr>
        <w:t>如某货物</w:t>
      </w:r>
      <w:r>
        <w:rPr>
          <w:rFonts w:ascii="宋体" w:eastAsia="宋体" w:hAnsi="宋体" w:cs="宋体" w:hint="eastAsia"/>
          <w:b/>
          <w:bCs/>
          <w:szCs w:val="21"/>
        </w:rPr>
        <w:t>采购</w:t>
      </w:r>
      <w:r>
        <w:rPr>
          <w:rFonts w:ascii="宋体" w:eastAsia="宋体" w:hAnsi="宋体" w:cs="宋体" w:hint="eastAsia"/>
          <w:szCs w:val="21"/>
        </w:rPr>
        <w:t>项目，中标金额为600万元，总共交纳的代理服务费的具体计算过程如下：</w:t>
      </w:r>
    </w:p>
    <w:p>
      <w:pPr>
        <w:ind w:firstLine="480" w:firstLineChars="200"/>
        <w:rPr>
          <w:rFonts w:ascii="宋体" w:eastAsia="宋体" w:hAnsi="宋体" w:cs="宋体"/>
          <w:szCs w:val="21"/>
        </w:rPr>
      </w:pPr>
      <w:r>
        <w:rPr>
          <w:rFonts w:ascii="宋体" w:eastAsia="宋体" w:hAnsi="宋体" w:cs="宋体" w:hint="eastAsia"/>
          <w:szCs w:val="21"/>
        </w:rPr>
        <w:t>标准代理服务费＝（100万以下部分的代理服务费）+（100万～500万部分的代理服务费）+（500万～600万部分的代理服务费）＝100万元×1.5%+（500-100）万元×1.1%+（600-500）万元×0.8%=1.5万元+4.4万元+0.8万元＝6.7万元</w:t>
      </w:r>
    </w:p>
    <w:p>
      <w:pPr>
        <w:ind w:firstLine="480" w:firstLineChars="200"/>
        <w:rPr>
          <w:rFonts w:ascii="宋体" w:eastAsia="宋体" w:hAnsi="宋体" w:cs="宋体"/>
          <w:szCs w:val="21"/>
        </w:rPr>
      </w:pPr>
      <w:r>
        <w:rPr>
          <w:rFonts w:ascii="宋体" w:eastAsia="宋体" w:hAnsi="宋体" w:cs="宋体" w:hint="eastAsia"/>
          <w:szCs w:val="21"/>
        </w:rPr>
        <w:t>中标供应商中标后，必须按规定采用银行对公转账方式向正采（深圳）招标代理有限公司直接交纳代理服务费，交纳信息及要求按以下规定执行：</w:t>
      </w:r>
    </w:p>
    <w:p>
      <w:pPr>
        <w:ind w:firstLine="480" w:firstLineChars="200"/>
        <w:rPr>
          <w:rFonts w:ascii="宋体" w:eastAsia="宋体" w:hAnsi="宋体" w:cs="宋体"/>
          <w:b/>
          <w:bCs/>
          <w:szCs w:val="21"/>
        </w:rPr>
      </w:pPr>
      <w:r>
        <w:rPr>
          <w:rFonts w:ascii="宋体" w:eastAsia="宋体" w:hAnsi="宋体" w:cs="宋体" w:hint="eastAsia"/>
          <w:b/>
          <w:bCs/>
          <w:szCs w:val="21"/>
        </w:rPr>
        <w:t>经营性账户信息如下：</w:t>
      </w:r>
    </w:p>
    <w:p>
      <w:pPr>
        <w:ind w:firstLine="480" w:firstLineChars="200"/>
        <w:rPr>
          <w:rFonts w:ascii="宋体" w:eastAsia="宋体" w:hAnsi="宋体" w:cs="宋体"/>
          <w:color w:val="0000FF"/>
          <w:szCs w:val="21"/>
        </w:rPr>
      </w:pPr>
      <w:r>
        <w:rPr>
          <w:rFonts w:ascii="宋体" w:eastAsia="宋体" w:hAnsi="宋体" w:cs="宋体" w:hint="eastAsia"/>
          <w:color w:val="0000FF"/>
          <w:szCs w:val="21"/>
        </w:rPr>
        <w:t>账户名：正采（深圳）招标代理有限公司</w:t>
      </w:r>
    </w:p>
    <w:p>
      <w:pPr>
        <w:ind w:firstLine="480" w:firstLineChars="200"/>
        <w:rPr>
          <w:rFonts w:ascii="宋体" w:eastAsia="宋体" w:hAnsi="宋体" w:cs="宋体"/>
          <w:color w:val="0000FF"/>
          <w:szCs w:val="21"/>
        </w:rPr>
      </w:pPr>
      <w:r>
        <w:rPr>
          <w:rFonts w:ascii="宋体" w:eastAsia="宋体" w:hAnsi="宋体" w:cs="宋体" w:hint="eastAsia"/>
          <w:color w:val="0000FF"/>
          <w:szCs w:val="21"/>
        </w:rPr>
        <w:t>账号：755957614510501</w:t>
      </w:r>
    </w:p>
    <w:p>
      <w:pPr>
        <w:ind w:firstLine="480" w:firstLineChars="200"/>
        <w:rPr>
          <w:rFonts w:ascii="宋体" w:eastAsia="宋体" w:hAnsi="宋体" w:cs="宋体"/>
          <w:color w:val="0000FF"/>
          <w:szCs w:val="21"/>
        </w:rPr>
      </w:pPr>
      <w:r>
        <w:rPr>
          <w:rFonts w:ascii="宋体" w:eastAsia="宋体" w:hAnsi="宋体" w:cs="宋体" w:hint="eastAsia"/>
          <w:color w:val="0000FF"/>
          <w:szCs w:val="21"/>
        </w:rPr>
        <w:t>开户行：招商银行股份有限公司深圳龙岗支行</w:t>
      </w:r>
    </w:p>
    <w:p>
      <w:pPr>
        <w:ind w:firstLine="480" w:firstLineChars="200"/>
        <w:rPr>
          <w:rFonts w:ascii="宋体" w:eastAsia="宋体" w:hAnsi="宋体" w:cs="宋体"/>
          <w:bCs/>
          <w:color w:val="0000FF"/>
          <w:szCs w:val="21"/>
        </w:rPr>
      </w:pPr>
      <w:r>
        <w:rPr>
          <w:rFonts w:ascii="宋体" w:eastAsia="宋体" w:hAnsi="宋体" w:cs="宋体" w:hint="eastAsia"/>
          <w:b/>
          <w:bCs/>
          <w:color w:val="0000FF"/>
          <w:szCs w:val="21"/>
        </w:rPr>
        <w:t>转账备注：</w:t>
      </w:r>
      <w:r>
        <w:rPr>
          <w:rFonts w:ascii="宋体" w:eastAsia="宋体" w:hAnsi="宋体" w:cs="宋体" w:hint="eastAsia"/>
          <w:bCs/>
          <w:color w:val="0000FF"/>
          <w:szCs w:val="21"/>
        </w:rPr>
        <w:t>项目编号+项目名称</w:t>
      </w:r>
    </w:p>
    <w:p>
      <w:pPr>
        <w:ind w:firstLine="420"/>
        <w:rPr>
          <w:rFonts w:ascii="宋体" w:hAnsi="宋体"/>
          <w:szCs w:val="21"/>
        </w:rPr>
      </w:pPr>
    </w:p>
    <w:p>
      <w:r>
        <w:t>---- END ----</w:t>
      </w:r>
      <w:bookmarkEnd w:id="137"/>
    </w:p>
    <w:p/>
    <w:p>
      <w:pPr>
        <w:rPr>
          <w:rFonts w:ascii="宋体" w:hAnsi="宋体"/>
          <w:szCs w:val="21"/>
        </w:rPr>
      </w:pPr>
    </w:p>
    <w:p/>
    <w:p/>
    <w:p/>
    <w:p/>
    <w:sectPr>
      <w:pgSz w:w="11906" w:h="16838"/>
      <w:pgMar w:top="1440" w:right="1800" w:bottom="1440" w:left="1800" w:header="720" w:footer="720"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onospace">
    <w:altName w:val="Segoe Print"/>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multilevel"/>
    <w:tmpl w:val="00000003"/>
    <w:lvl w:ilvl="0">
      <w:start w:val="1"/>
      <w:numFmt w:val="chineseCounting"/>
      <w:suff w:val="space"/>
      <w:lvlText w:val="第%1章"/>
      <w:lvlJc w:val="left"/>
      <w:rPr>
        <w:rFonts w:hint="eastAsia"/>
        <w:b/>
        <w:bCs/>
        <w:sz w:val="36"/>
        <w:szCs w:val="36"/>
      </w:rPr>
    </w:lvl>
    <w:lvl w:ilvl="1">
      <w:start w:val="0"/>
      <w:numFmt w:val="bullet"/>
      <w:lvlText w:val="•"/>
      <w:lvlJc w:val="left"/>
      <w:pPr>
        <w:ind w:left="1026" w:hanging="529"/>
      </w:pPr>
      <w:rPr>
        <w:rFonts w:hint="default"/>
        <w:lang w:val="zh-CN" w:eastAsia="zh-CN" w:bidi="zh-CN"/>
      </w:rPr>
    </w:lvl>
    <w:lvl w:ilvl="2">
      <w:start w:val="0"/>
      <w:numFmt w:val="bullet"/>
      <w:lvlText w:val="•"/>
      <w:lvlJc w:val="left"/>
      <w:pPr>
        <w:ind w:left="1412" w:hanging="529"/>
      </w:pPr>
      <w:rPr>
        <w:rFonts w:hint="default"/>
        <w:lang w:val="zh-CN" w:eastAsia="zh-CN" w:bidi="zh-CN"/>
      </w:rPr>
    </w:lvl>
    <w:lvl w:ilvl="3">
      <w:start w:val="0"/>
      <w:numFmt w:val="bullet"/>
      <w:lvlText w:val="•"/>
      <w:lvlJc w:val="left"/>
      <w:pPr>
        <w:ind w:left="1798" w:hanging="529"/>
      </w:pPr>
      <w:rPr>
        <w:rFonts w:hint="default"/>
        <w:lang w:val="zh-CN" w:eastAsia="zh-CN" w:bidi="zh-CN"/>
      </w:rPr>
    </w:lvl>
    <w:lvl w:ilvl="4">
      <w:start w:val="0"/>
      <w:numFmt w:val="bullet"/>
      <w:lvlText w:val="•"/>
      <w:lvlJc w:val="left"/>
      <w:pPr>
        <w:ind w:left="2184" w:hanging="529"/>
      </w:pPr>
      <w:rPr>
        <w:rFonts w:hint="default"/>
        <w:lang w:val="zh-CN" w:eastAsia="zh-CN" w:bidi="zh-CN"/>
      </w:rPr>
    </w:lvl>
    <w:lvl w:ilvl="5">
      <w:start w:val="0"/>
      <w:numFmt w:val="bullet"/>
      <w:lvlText w:val="•"/>
      <w:lvlJc w:val="left"/>
      <w:pPr>
        <w:ind w:left="2570" w:hanging="529"/>
      </w:pPr>
      <w:rPr>
        <w:rFonts w:hint="default"/>
        <w:lang w:val="zh-CN" w:eastAsia="zh-CN" w:bidi="zh-CN"/>
      </w:rPr>
    </w:lvl>
    <w:lvl w:ilvl="6">
      <w:start w:val="0"/>
      <w:numFmt w:val="bullet"/>
      <w:lvlText w:val="•"/>
      <w:lvlJc w:val="left"/>
      <w:pPr>
        <w:ind w:left="2956" w:hanging="529"/>
      </w:pPr>
      <w:rPr>
        <w:rFonts w:hint="default"/>
        <w:lang w:val="zh-CN" w:eastAsia="zh-CN" w:bidi="zh-CN"/>
      </w:rPr>
    </w:lvl>
    <w:lvl w:ilvl="7">
      <w:start w:val="0"/>
      <w:numFmt w:val="bullet"/>
      <w:lvlText w:val="•"/>
      <w:lvlJc w:val="left"/>
      <w:pPr>
        <w:ind w:left="3342" w:hanging="529"/>
      </w:pPr>
      <w:rPr>
        <w:rFonts w:hint="default"/>
        <w:lang w:val="zh-CN" w:eastAsia="zh-CN" w:bidi="zh-CN"/>
      </w:rPr>
    </w:lvl>
    <w:lvl w:ilvl="8">
      <w:start w:val="0"/>
      <w:numFmt w:val="bullet"/>
      <w:lvlText w:val="•"/>
      <w:lvlJc w:val="left"/>
      <w:pPr>
        <w:ind w:left="3728" w:hanging="529"/>
      </w:pPr>
      <w:rPr>
        <w:rFonts w:hint="default"/>
        <w:lang w:val="zh-CN" w:eastAsia="zh-CN" w:bidi="zh-CN"/>
      </w:rPr>
    </w:lvl>
  </w:abstractNum>
  <w:abstractNum w:abstractNumId="1">
    <w:nsid w:val="00000004"/>
    <w:multiLevelType w:val="singleLevel"/>
    <w:tmpl w:val="00000004"/>
    <w:lvl w:ilvl="0">
      <w:start w:val="4"/>
      <w:numFmt w:val="chineseCounting"/>
      <w:suff w:val="nothing"/>
      <w:lvlText w:val="（%1）"/>
      <w:lvlJc w:val="left"/>
      <w:rPr>
        <w:rFonts w:hint="eastAsia"/>
      </w:rPr>
    </w:lvl>
  </w:abstractNum>
  <w:abstractNum w:abstractNumId="2">
    <w:nsid w:val="00000005"/>
    <w:multiLevelType w:val="multilevel"/>
    <w:tmpl w:val="00000005"/>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62DA953"/>
    <w:multiLevelType w:val="singleLevel"/>
    <w:tmpl w:val="162DA953"/>
    <w:lvl w:ilvl="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noPunctuationKerning/>
  <w:characterSpacingControl w:val="doNotCompress"/>
  <w:noLineBreaksAfter w:lang="zh-CN" w:val="([{·‘“〈《「『【〔〖（．［｛￡￥"/>
  <w:noLineBreaksBefore w:lang="zh-CN" w:val="!),.:;?]}¨·ˇˉ―‖’”…∶、。〃々〉》」』】〕〗！＂＇），．：；？］｀｜｝～￠"/>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xOGViN2E3YTRjZDcwNjJiZWY1ZDI3YmY0NWYwODI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unhideWhenUsed="0" w:qFormat="1"/>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qFormat="1"/>
    <w:lsdException w:name="HTML Address" w:semiHidden="0" w:uiPriority="0" w:unhideWhenUsed="0"/>
    <w:lsdException w:name="HTML Cite" w:semiHidden="0" w:uiPriority="0" w:unhideWhenUsed="0" w:qFormat="1"/>
    <w:lsdException w:name="HTML Code" w:semiHidden="0" w:uiPriority="0" w:unhideWhenUsed="0" w:qFormat="1"/>
    <w:lsdException w:name="HTML Definition" w:semiHidden="0" w:uiPriority="0" w:unhideWhenUsed="0" w:qFormat="1"/>
    <w:lsdException w:name="HTML Keyboard" w:semiHidden="0" w:uiPriority="0" w:unhideWhenUsed="0" w:qFormat="1"/>
    <w:lsdException w:name="HTML Preformatted" w:semiHidden="0" w:uiPriority="0" w:unhideWhenUsed="0"/>
    <w:lsdException w:name="HTML Sample" w:semiHidden="0" w:uiPriority="0" w:unhideWhenUsed="0" w:qFormat="1"/>
    <w:lsdException w:name="HTML Typewriter" w:semiHidden="0" w:uiPriority="0" w:unhideWhenUsed="0" w:qFormat="1"/>
    <w:lsdException w:name="HTML Variable" w:semiHidden="0" w:uiPriority="0" w:unhideWhenUsed="0" w:qFormat="1"/>
    <w:lsdException w:name="Normal Table" w:semiHidden="0"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0"/>
    <w:autoRedefine/>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
    <w:autoRedefine/>
    <w:qFormat/>
    <w:pPr>
      <w:adjustRightInd w:val="0"/>
      <w:jc w:val="center"/>
      <w:textAlignment w:val="baseline"/>
      <w:outlineLvl w:val="1"/>
    </w:pPr>
    <w:rPr>
      <w:sz w:val="24"/>
      <w:szCs w:val="20"/>
    </w:rPr>
  </w:style>
  <w:style w:type="paragraph" w:styleId="Heading3">
    <w:name w:val="heading 3"/>
    <w:basedOn w:val="Heading4"/>
    <w:next w:val="Normal"/>
    <w:link w:val="3"/>
    <w:autoRedefine/>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autoRedefine/>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autoRedefine/>
    <w:uiPriority w:val="1"/>
    <w:unhideWhenUsed/>
    <w:qFormat/>
  </w:style>
  <w:style w:type="table" w:default="1" w:styleId="TableNormal">
    <w:name w:val="Normal Table"/>
    <w:autoRedefine/>
    <w:uiPriority w:val="99"/>
    <w:unhideWhenUsed/>
    <w:qFormat/>
    <w:tblPr>
      <w:tblCellMar>
        <w:top w:w="0" w:type="dxa"/>
        <w:left w:w="108" w:type="dxa"/>
        <w:bottom w:w="0" w:type="dxa"/>
        <w:right w:w="108" w:type="dxa"/>
      </w:tblCellMar>
    </w:tblPr>
  </w:style>
  <w:style w:type="paragraph" w:styleId="NormalIndent">
    <w:name w:val="Normal Indent"/>
    <w:basedOn w:val="Normal"/>
    <w:link w:val="a0"/>
    <w:autoRedefine/>
    <w:qFormat/>
    <w:pPr>
      <w:ind w:firstLine="420"/>
    </w:pPr>
    <w:rPr>
      <w:szCs w:val="20"/>
    </w:rPr>
  </w:style>
  <w:style w:type="paragraph" w:styleId="CommentText">
    <w:name w:val="annotation text"/>
    <w:basedOn w:val="Normal"/>
    <w:autoRedefine/>
    <w:qFormat/>
  </w:style>
  <w:style w:type="paragraph" w:styleId="BodyText">
    <w:name w:val="Body Text"/>
    <w:basedOn w:val="Normal"/>
    <w:link w:val="a"/>
    <w:autoRedefine/>
    <w:qFormat/>
    <w:pPr>
      <w:spacing w:line="360" w:lineRule="auto"/>
    </w:pPr>
    <w:rPr>
      <w:b/>
      <w:bCs/>
    </w:rPr>
  </w:style>
  <w:style w:type="paragraph" w:styleId="BodyTextIndent">
    <w:name w:val="Body Text Indent"/>
    <w:basedOn w:val="Normal"/>
    <w:link w:val="a1"/>
    <w:autoRedefine/>
    <w:qFormat/>
    <w:pPr>
      <w:spacing w:line="360" w:lineRule="auto"/>
      <w:ind w:firstLine="420" w:firstLineChars="200"/>
    </w:pPr>
  </w:style>
  <w:style w:type="paragraph" w:styleId="BodyText2">
    <w:name w:val="Body Text 2"/>
    <w:basedOn w:val="Normal"/>
    <w:autoRedefine/>
    <w:qFormat/>
    <w:pPr>
      <w:spacing w:after="120" w:line="480" w:lineRule="auto"/>
    </w:pPr>
  </w:style>
  <w:style w:type="paragraph" w:styleId="NormalWeb">
    <w:name w:val="Normal (Web)"/>
    <w:basedOn w:val="Normal"/>
    <w:autoRedefine/>
    <w:uiPriority w:val="99"/>
    <w:qFormat/>
  </w:style>
  <w:style w:type="paragraph" w:styleId="BodyTextFirstIndent2">
    <w:name w:val="Body Text First Indent 2"/>
    <w:basedOn w:val="BodyTextIndent"/>
    <w:autoRedefine/>
    <w:qFormat/>
    <w:pPr>
      <w:widowControl w:val="0"/>
      <w:spacing w:after="120"/>
      <w:ind w:left="2098"/>
      <w:jc w:val="both"/>
    </w:pPr>
    <w:rPr>
      <w:rFonts w:eastAsia="宋体"/>
      <w:color w:val="000000"/>
      <w:kern w:val="2"/>
    </w:r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autoRedefine/>
    <w:qFormat/>
    <w:rPr>
      <w:b/>
      <w:bCs/>
    </w:rPr>
  </w:style>
  <w:style w:type="character" w:styleId="FollowedHyperlink">
    <w:name w:val="FollowedHyperlink"/>
    <w:basedOn w:val="DefaultParagraphFont"/>
    <w:autoRedefine/>
    <w:qFormat/>
    <w:rPr>
      <w:color w:val="5C5C5C"/>
      <w:u w:val="none"/>
    </w:rPr>
  </w:style>
  <w:style w:type="character" w:styleId="Emphasis">
    <w:name w:val="Emphasis"/>
    <w:basedOn w:val="DefaultParagraphFont"/>
    <w:autoRedefine/>
    <w:qFormat/>
    <w:rPr>
      <w:b/>
      <w:bCs/>
      <w:bdr w:val="single" w:sz="6" w:space="0" w:color="EBEBEB"/>
      <w:shd w:val="clear" w:color="auto" w:fill="FFFFFF"/>
    </w:rPr>
  </w:style>
  <w:style w:type="character" w:styleId="HTMLDefinition">
    <w:name w:val="HTML Definition"/>
    <w:basedOn w:val="DefaultParagraphFont"/>
    <w:autoRedefine/>
    <w:qFormat/>
  </w:style>
  <w:style w:type="character" w:styleId="HTMLTypewriter">
    <w:name w:val="HTML Typewriter"/>
    <w:basedOn w:val="DefaultParagraphFont"/>
    <w:autoRedefine/>
    <w:qFormat/>
    <w:rPr>
      <w:rFonts w:ascii="monospace" w:eastAsia="monospace" w:hAnsi="monospace" w:cs="monospace" w:hint="default"/>
      <w:sz w:val="20"/>
    </w:rPr>
  </w:style>
  <w:style w:type="character" w:styleId="HTMLAcronym">
    <w:name w:val="HTML Acronym"/>
    <w:basedOn w:val="DefaultParagraphFont"/>
    <w:autoRedefine/>
    <w:qFormat/>
    <w:rPr>
      <w:vanish/>
    </w:rPr>
  </w:style>
  <w:style w:type="character" w:styleId="HTMLVariable">
    <w:name w:val="HTML Variable"/>
    <w:basedOn w:val="DefaultParagraphFont"/>
    <w:autoRedefine/>
    <w:qFormat/>
  </w:style>
  <w:style w:type="character" w:styleId="Hyperlink">
    <w:name w:val="Hyperlink"/>
    <w:basedOn w:val="DefaultParagraphFont"/>
    <w:autoRedefine/>
    <w:qFormat/>
    <w:rPr>
      <w:color w:val="5C5C5C"/>
      <w:u w:val="none"/>
    </w:rPr>
  </w:style>
  <w:style w:type="character" w:styleId="HTMLCode">
    <w:name w:val="HTML Code"/>
    <w:basedOn w:val="DefaultParagraphFont"/>
    <w:autoRedefine/>
    <w:qFormat/>
    <w:rPr>
      <w:rFonts w:ascii="monospace" w:eastAsia="monospace" w:hAnsi="monospace" w:cs="monospace"/>
      <w:sz w:val="20"/>
    </w:rPr>
  </w:style>
  <w:style w:type="character" w:styleId="HTMLCite">
    <w:name w:val="HTML Cite"/>
    <w:basedOn w:val="DefaultParagraphFont"/>
    <w:autoRedefine/>
    <w:qFormat/>
  </w:style>
  <w:style w:type="character" w:styleId="HTMLKeyboard">
    <w:name w:val="HTML Keyboard"/>
    <w:basedOn w:val="DefaultParagraphFont"/>
    <w:autoRedefine/>
    <w:qFormat/>
    <w:rPr>
      <w:rFonts w:ascii="monospace" w:eastAsia="monospace" w:hAnsi="monospace" w:cs="monospace" w:hint="default"/>
      <w:sz w:val="20"/>
    </w:rPr>
  </w:style>
  <w:style w:type="character" w:styleId="HTMLSample">
    <w:name w:val="HTML Sample"/>
    <w:basedOn w:val="DefaultParagraphFont"/>
    <w:autoRedefine/>
    <w:qFormat/>
    <w:rPr>
      <w:rFonts w:ascii="monospace" w:eastAsia="monospace" w:hAnsi="monospace" w:cs="monospace" w:hint="default"/>
    </w:rPr>
  </w:style>
  <w:style w:type="paragraph" w:customStyle="1" w:styleId="1">
    <w:name w:val="引用1"/>
    <w:next w:val="Normal"/>
    <w:autoRedefine/>
    <w:uiPriority w:val="99"/>
    <w:qFormat/>
    <w:pPr>
      <w:widowControl w:val="0"/>
      <w:jc w:val="both"/>
    </w:pPr>
    <w:rPr>
      <w:rFonts w:ascii="Calibri" w:eastAsia="宋体" w:hAnsi="Calibri" w:cs="Calibri"/>
      <w:i/>
      <w:iCs/>
      <w:color w:val="000000"/>
      <w:kern w:val="2"/>
      <w:sz w:val="22"/>
      <w:szCs w:val="22"/>
      <w:lang w:val="en-US" w:eastAsia="zh-CN" w:bidi="ar-SA"/>
    </w:rPr>
  </w:style>
  <w:style w:type="character" w:customStyle="1" w:styleId="a">
    <w:name w:val="正文文本 字符"/>
    <w:link w:val="BodyText"/>
    <w:autoRedefine/>
    <w:qFormat/>
    <w:rPr>
      <w:rFonts w:eastAsia="宋体"/>
      <w:b/>
      <w:bCs/>
      <w:kern w:val="2"/>
      <w:sz w:val="24"/>
      <w:szCs w:val="24"/>
      <w:lang w:val="en-US" w:eastAsia="zh-CN" w:bidi="ar-SA"/>
    </w:rPr>
  </w:style>
  <w:style w:type="character" w:customStyle="1" w:styleId="4">
    <w:name w:val="标题 4 字符"/>
    <w:link w:val="Heading4"/>
    <w:autoRedefine/>
    <w:qFormat/>
    <w:rPr>
      <w:rFonts w:ascii="Arial" w:eastAsia="黑体" w:hAnsi="Arial"/>
      <w:b/>
      <w:bCs/>
      <w:kern w:val="2"/>
      <w:sz w:val="28"/>
      <w:szCs w:val="28"/>
      <w:lang w:val="en-US" w:eastAsia="zh-CN" w:bidi="ar-SA"/>
    </w:rPr>
  </w:style>
  <w:style w:type="character" w:customStyle="1" w:styleId="3">
    <w:name w:val="标题 3 字符"/>
    <w:link w:val="Heading3"/>
    <w:autoRedefine/>
    <w:qFormat/>
    <w:rPr>
      <w:rFonts w:ascii="宋体" w:eastAsia="宋体" w:hAnsi="宋体"/>
      <w:b/>
      <w:bCs/>
      <w:kern w:val="2"/>
      <w:sz w:val="28"/>
      <w:szCs w:val="32"/>
      <w:lang w:val="en-US" w:eastAsia="zh-CN" w:bidi="ar-SA"/>
    </w:rPr>
  </w:style>
  <w:style w:type="character" w:customStyle="1" w:styleId="10">
    <w:name w:val="标题 1 字符"/>
    <w:link w:val="Heading1"/>
    <w:autoRedefine/>
    <w:qFormat/>
    <w:rPr>
      <w:rFonts w:ascii="宋体" w:eastAsia="黑体" w:hAnsi="宋体"/>
      <w:b/>
      <w:bCs/>
      <w:kern w:val="44"/>
      <w:sz w:val="28"/>
      <w:szCs w:val="44"/>
      <w:lang w:val="en-US" w:eastAsia="zh-CN" w:bidi="ar-SA"/>
    </w:rPr>
  </w:style>
  <w:style w:type="character" w:customStyle="1" w:styleId="2">
    <w:name w:val="标题 2 字符"/>
    <w:link w:val="Heading2"/>
    <w:autoRedefine/>
    <w:qFormat/>
    <w:rPr>
      <w:rFonts w:ascii="宋体" w:eastAsia="宋体" w:hAnsi="宋体"/>
      <w:b/>
      <w:bCs/>
      <w:sz w:val="24"/>
      <w:lang w:val="en-US" w:eastAsia="zh-CN" w:bidi="ar-SA"/>
    </w:rPr>
  </w:style>
  <w:style w:type="character" w:customStyle="1" w:styleId="a0">
    <w:name w:val="正文缩进 字符"/>
    <w:link w:val="NormalIndent"/>
    <w:autoRedefine/>
    <w:qFormat/>
    <w:rPr>
      <w:rFonts w:eastAsia="宋体"/>
      <w:kern w:val="2"/>
      <w:sz w:val="21"/>
      <w:lang w:val="en-US" w:eastAsia="zh-CN" w:bidi="ar-SA"/>
    </w:rPr>
  </w:style>
  <w:style w:type="character" w:customStyle="1" w:styleId="a1">
    <w:name w:val="正文文本缩进 字符"/>
    <w:link w:val="BodyTextIndent"/>
    <w:autoRedefine/>
    <w:qFormat/>
    <w:rPr>
      <w:rFonts w:eastAsia="宋体"/>
      <w:kern w:val="2"/>
      <w:sz w:val="21"/>
      <w:szCs w:val="24"/>
      <w:lang w:val="en-US" w:eastAsia="zh-CN" w:bidi="ar-SA"/>
    </w:rPr>
  </w:style>
  <w:style w:type="character" w:customStyle="1" w:styleId="hover1">
    <w:name w:val="hover1"/>
    <w:basedOn w:val="DefaultParagraphFont"/>
    <w:autoRedefine/>
    <w:qFormat/>
    <w:rPr>
      <w:color w:val="2590EB"/>
    </w:rPr>
  </w:style>
  <w:style w:type="character" w:customStyle="1" w:styleId="3Char">
    <w:name w:val="标题 3 Char"/>
    <w:autoRedefine/>
    <w:qFormat/>
    <w:rPr>
      <w:rFonts w:ascii="黑体" w:eastAsia="黑体"/>
      <w:bCs/>
      <w:sz w:val="30"/>
    </w:rPr>
  </w:style>
  <w:style w:type="character" w:customStyle="1" w:styleId="hover3">
    <w:name w:val="hover3"/>
    <w:basedOn w:val="DefaultParagraphFont"/>
    <w:autoRedefine/>
    <w:qFormat/>
    <w:rPr>
      <w:color w:val="2590EB"/>
      <w:shd w:val="clear" w:color="auto" w:fill="E9F4FD"/>
    </w:rPr>
  </w:style>
  <w:style w:type="character" w:customStyle="1" w:styleId="hover2">
    <w:name w:val="hover2"/>
    <w:basedOn w:val="DefaultParagraphFont"/>
    <w:autoRedefine/>
    <w:qFormat/>
    <w:rPr>
      <w:color w:val="2590EB"/>
    </w:rPr>
  </w:style>
  <w:style w:type="character" w:customStyle="1" w:styleId="hover">
    <w:name w:val="hover"/>
    <w:basedOn w:val="DefaultParagraphFont"/>
    <w:autoRedefine/>
    <w:qFormat/>
  </w:style>
  <w:style w:type="character" w:customStyle="1" w:styleId="mini-outputtext1">
    <w:name w:val="mini-outputtext1"/>
    <w:basedOn w:val="DefaultParagraphFont"/>
    <w:autoRedefine/>
    <w:qFormat/>
  </w:style>
  <w:style w:type="paragraph" w:customStyle="1" w:styleId="Revision">
    <w:name w:val="Revision"/>
    <w:autoRedefine/>
    <w:uiPriority w:val="99"/>
    <w:semiHidden/>
    <w:qFormat/>
    <w:rPr>
      <w:rFonts w:ascii="Times New Roman" w:eastAsia="Times New Roman" w:hAnsi="Times New Roman" w:cs="Times New Roman"/>
      <w:sz w:val="24"/>
      <w:szCs w:val="24"/>
      <w:lang w:val="en-US" w:eastAsia="zh-CN" w:bidi="ar-SA"/>
    </w:rPr>
  </w:style>
  <w:style w:type="character" w:customStyle="1" w:styleId="hover4">
    <w:name w:val="hover4"/>
    <w:basedOn w:val="DefaultParagraphFont"/>
    <w:autoRedefine/>
    <w:qFormat/>
    <w:rPr>
      <w:color w:val="2590EB"/>
      <w:shd w:val="clear" w:color="auto" w:fill="E9F4FD"/>
    </w:rPr>
  </w:style>
  <w:style w:type="character" w:customStyle="1" w:styleId="font21">
    <w:name w:val="font21"/>
    <w:basedOn w:val="DefaultParagraphFont"/>
    <w:autoRedefine/>
    <w:qFormat/>
    <w:rPr>
      <w:rFonts w:ascii="宋体" w:eastAsia="宋体" w:hAnsi="宋体" w:cs="宋体" w:hint="eastAsia"/>
      <w:b/>
      <w:bCs/>
      <w:color w:val="FF0000"/>
      <w:sz w:val="21"/>
      <w:szCs w:val="21"/>
      <w:u w:val="none"/>
    </w:rPr>
  </w:style>
  <w:style w:type="character" w:customStyle="1" w:styleId="font31">
    <w:name w:val="font31"/>
    <w:basedOn w:val="DefaultParagraphFont"/>
    <w:autoRedefine/>
    <w:qFormat/>
    <w:rPr>
      <w:rFonts w:ascii="宋体" w:eastAsia="宋体" w:hAnsi="宋体" w:cs="宋体" w:hint="eastAsia"/>
      <w:color w:val="000000"/>
      <w:sz w:val="20"/>
      <w:szCs w:val="20"/>
      <w:u w:val="none"/>
    </w:rPr>
  </w:style>
  <w:style w:type="paragraph" w:customStyle="1" w:styleId="F4">
    <w:name w:val="表格小五F4"/>
    <w:basedOn w:val="Normal"/>
    <w:autoRedefine/>
    <w:qFormat/>
    <w:pPr>
      <w:widowControl/>
      <w:jc w:val="center"/>
    </w:pPr>
    <w:rPr>
      <w:rFonts w:ascii="Times New Roman" w:eastAsia="楷体" w:hAnsi="Times New Roman" w:cs="Times New Roman"/>
      <w:kern w:val="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19</TotalTime>
  <Pages>65</Pages>
  <Words>52474</Words>
  <Characters>58133</Characters>
  <Application>Microsoft Office Word</Application>
  <DocSecurity>0</DocSecurity>
  <Lines>468</Lines>
  <Paragraphs>131</Paragraphs>
  <ScaleCrop>false</ScaleCrop>
  <Company/>
  <LinksUpToDate>false</LinksUpToDate>
  <CharactersWithSpaces>59823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正采</cp:lastModifiedBy>
  <cp:revision>2</cp:revision>
  <dcterms:created xsi:type="dcterms:W3CDTF">2022-12-21T11:53:00Z</dcterms:created>
  <dcterms:modified xsi:type="dcterms:W3CDTF">2024-03-18T02:42:52Z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5CA8D3A777EB4F949653453B20FD65E4_13</vt:lpwstr>
  </property>
  <property fmtid="{D5CDD505-2E9C-101B-9397-08002B2CF9AE}" pid="3" name="KSOProductBuildVer">
    <vt:lpwstr>2052-12.1.0.16388</vt:lpwstr>
  </property>
</Properties>
</file>